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790EE" w14:textId="4E4F3CAC" w:rsidR="00A737B4" w:rsidRPr="00737801" w:rsidRDefault="005A42F0" w:rsidP="00E57DF5">
      <w:pPr>
        <w:pStyle w:val="NoSpacing"/>
        <w:jc w:val="both"/>
        <w:rPr>
          <w:sz w:val="20"/>
          <w:szCs w:val="20"/>
        </w:rPr>
      </w:pPr>
      <w:r w:rsidRPr="00737801">
        <w:rPr>
          <w:sz w:val="20"/>
          <w:szCs w:val="20"/>
        </w:rPr>
        <w:t xml:space="preserve">Notice: This decision may be formally revised before it is published in the District of Columbia Register.  Parties should promptly notify this office of any errors so that they may be corrected before publishing the decision.  This notice is not intended to provide an opportunity for a substantive challenge to the decision. </w:t>
      </w:r>
    </w:p>
    <w:p w14:paraId="43FC4F7D" w14:textId="18A9194F" w:rsidR="005A42F0" w:rsidRPr="00737801" w:rsidRDefault="005A42F0" w:rsidP="00E57DF5">
      <w:pPr>
        <w:pStyle w:val="NoSpacing"/>
        <w:jc w:val="both"/>
        <w:rPr>
          <w:b/>
          <w:bCs/>
        </w:rPr>
      </w:pPr>
    </w:p>
    <w:p w14:paraId="2A3C9849" w14:textId="075242FD" w:rsidR="005A42F0" w:rsidRPr="00737801" w:rsidRDefault="005A42F0" w:rsidP="008F7371">
      <w:pPr>
        <w:pStyle w:val="NoSpacing"/>
        <w:jc w:val="center"/>
        <w:rPr>
          <w:b/>
          <w:bCs/>
        </w:rPr>
      </w:pPr>
      <w:r w:rsidRPr="00737801">
        <w:rPr>
          <w:b/>
          <w:bCs/>
        </w:rPr>
        <w:t>GOVERNMENT OF THE DISTRICT OF COLUMBIA</w:t>
      </w:r>
    </w:p>
    <w:p w14:paraId="79E09B0E" w14:textId="31F41B52" w:rsidR="005A42F0" w:rsidRPr="00737801" w:rsidRDefault="005A42F0" w:rsidP="008F7371">
      <w:pPr>
        <w:pStyle w:val="NoSpacing"/>
        <w:jc w:val="center"/>
        <w:rPr>
          <w:b/>
          <w:bCs/>
        </w:rPr>
      </w:pPr>
      <w:r w:rsidRPr="00737801">
        <w:rPr>
          <w:b/>
          <w:bCs/>
        </w:rPr>
        <w:t>PUBLIC EMPLOYEE RELATIONS BOARD</w:t>
      </w:r>
    </w:p>
    <w:p w14:paraId="7CC8E836" w14:textId="42814E23" w:rsidR="005A42F0" w:rsidRPr="00737801" w:rsidRDefault="005A42F0" w:rsidP="00E57DF5">
      <w:pPr>
        <w:pStyle w:val="NoSpacing"/>
        <w:jc w:val="both"/>
      </w:pPr>
    </w:p>
    <w:p w14:paraId="05844992" w14:textId="73E0BB38" w:rsidR="00123E28" w:rsidRPr="00737801" w:rsidRDefault="00123E28" w:rsidP="00123E28">
      <w:pPr>
        <w:widowControl w:val="0"/>
        <w:autoSpaceDE w:val="0"/>
        <w:autoSpaceDN w:val="0"/>
        <w:adjustRightInd w:val="0"/>
        <w:spacing w:after="0" w:line="240" w:lineRule="auto"/>
        <w:jc w:val="both"/>
        <w:rPr>
          <w:rFonts w:eastAsia="Times New Roman"/>
          <w:sz w:val="24"/>
          <w:szCs w:val="24"/>
        </w:rPr>
      </w:pPr>
      <w:r w:rsidRPr="00737801">
        <w:rPr>
          <w:rFonts w:eastAsia="Times New Roman"/>
          <w:sz w:val="24"/>
          <w:szCs w:val="24"/>
        </w:rPr>
        <w:t>__________________________</w:t>
      </w:r>
      <w:r w:rsidR="0041137A" w:rsidRPr="00737801">
        <w:rPr>
          <w:rFonts w:eastAsia="Times New Roman"/>
          <w:sz w:val="24"/>
          <w:szCs w:val="24"/>
        </w:rPr>
        <w:t>__</w:t>
      </w:r>
      <w:r w:rsidRPr="00737801">
        <w:rPr>
          <w:rFonts w:eastAsia="Times New Roman"/>
          <w:sz w:val="24"/>
          <w:szCs w:val="24"/>
        </w:rPr>
        <w:t xml:space="preserve">________ </w:t>
      </w:r>
    </w:p>
    <w:p w14:paraId="3F070B21" w14:textId="77777777" w:rsidR="00123E28" w:rsidRPr="00737801" w:rsidRDefault="00123E28" w:rsidP="00123E28">
      <w:pPr>
        <w:widowControl w:val="0"/>
        <w:spacing w:after="0" w:line="240" w:lineRule="auto"/>
        <w:jc w:val="both"/>
        <w:rPr>
          <w:rFonts w:eastAsia="Times New Roman"/>
          <w:b/>
          <w:bCs/>
          <w:sz w:val="24"/>
          <w:szCs w:val="24"/>
        </w:rPr>
      </w:pPr>
      <w:r w:rsidRPr="00737801">
        <w:rPr>
          <w:b/>
          <w:bCs/>
          <w:sz w:val="24"/>
          <w:szCs w:val="24"/>
        </w:rPr>
        <w:t>In the matter of</w:t>
      </w:r>
      <w:r w:rsidRPr="00737801">
        <w:rPr>
          <w:b/>
          <w:bCs/>
          <w:sz w:val="24"/>
          <w:szCs w:val="24"/>
        </w:rPr>
        <w:tab/>
      </w:r>
      <w:r w:rsidRPr="00737801">
        <w:rPr>
          <w:b/>
          <w:bCs/>
          <w:sz w:val="24"/>
          <w:szCs w:val="24"/>
        </w:rPr>
        <w:tab/>
      </w:r>
      <w:r w:rsidRPr="00737801">
        <w:rPr>
          <w:b/>
          <w:bCs/>
          <w:sz w:val="24"/>
          <w:szCs w:val="24"/>
        </w:rPr>
        <w:tab/>
      </w:r>
      <w:r w:rsidRPr="00737801">
        <w:rPr>
          <w:b/>
          <w:bCs/>
          <w:sz w:val="24"/>
          <w:szCs w:val="24"/>
        </w:rPr>
        <w:tab/>
      </w:r>
      <w:r w:rsidRPr="00737801">
        <w:rPr>
          <w:rFonts w:eastAsia="Times New Roman"/>
          <w:b/>
          <w:bCs/>
          <w:sz w:val="24"/>
          <w:szCs w:val="24"/>
        </w:rPr>
        <w:t>)</w:t>
      </w:r>
    </w:p>
    <w:p w14:paraId="0C42C776" w14:textId="77777777" w:rsidR="00123E28" w:rsidRPr="00737801" w:rsidRDefault="00123E28" w:rsidP="00123E28">
      <w:pPr>
        <w:widowControl w:val="0"/>
        <w:tabs>
          <w:tab w:val="left" w:pos="-1209"/>
          <w:tab w:val="left" w:pos="-720"/>
          <w:tab w:val="left" w:pos="0"/>
          <w:tab w:val="left" w:pos="720"/>
          <w:tab w:val="left" w:pos="1440"/>
          <w:tab w:val="left" w:pos="1620"/>
          <w:tab w:val="left" w:pos="1800"/>
          <w:tab w:val="left" w:pos="2160"/>
          <w:tab w:val="left" w:pos="2880"/>
          <w:tab w:val="left" w:pos="3600"/>
          <w:tab w:val="left" w:pos="4320"/>
        </w:tabs>
        <w:autoSpaceDE w:val="0"/>
        <w:autoSpaceDN w:val="0"/>
        <w:adjustRightInd w:val="0"/>
        <w:spacing w:after="0" w:line="240" w:lineRule="auto"/>
        <w:jc w:val="both"/>
        <w:rPr>
          <w:rFonts w:eastAsia="Times New Roman"/>
          <w:b/>
          <w:sz w:val="24"/>
          <w:szCs w:val="24"/>
        </w:rPr>
      </w:pP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w:t>
      </w:r>
      <w:r w:rsidRPr="00737801">
        <w:rPr>
          <w:rFonts w:eastAsia="Times New Roman"/>
          <w:b/>
          <w:sz w:val="24"/>
          <w:szCs w:val="24"/>
        </w:rPr>
        <w:tab/>
      </w:r>
    </w:p>
    <w:p w14:paraId="78EA9E81" w14:textId="77777777"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b/>
          <w:sz w:val="24"/>
          <w:szCs w:val="24"/>
        </w:rPr>
      </w:pPr>
      <w:r w:rsidRPr="00737801">
        <w:rPr>
          <w:rFonts w:eastAsia="Times New Roman"/>
          <w:b/>
          <w:sz w:val="24"/>
          <w:szCs w:val="24"/>
        </w:rPr>
        <w:t xml:space="preserve">American Federation of Government </w:t>
      </w:r>
      <w:r w:rsidRPr="00737801">
        <w:rPr>
          <w:rFonts w:eastAsia="Times New Roman"/>
          <w:b/>
          <w:sz w:val="24"/>
          <w:szCs w:val="24"/>
        </w:rPr>
        <w:tab/>
        <w:t>)</w:t>
      </w:r>
      <w:r w:rsidRPr="00737801">
        <w:rPr>
          <w:rFonts w:eastAsia="Times New Roman"/>
          <w:b/>
          <w:sz w:val="24"/>
          <w:szCs w:val="24"/>
        </w:rPr>
        <w:tab/>
      </w:r>
    </w:p>
    <w:p w14:paraId="5BCFB43F" w14:textId="77777777"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b/>
          <w:sz w:val="24"/>
          <w:szCs w:val="24"/>
        </w:rPr>
      </w:pPr>
      <w:r w:rsidRPr="00737801">
        <w:rPr>
          <w:rFonts w:eastAsia="Times New Roman"/>
          <w:b/>
          <w:sz w:val="24"/>
          <w:szCs w:val="24"/>
        </w:rPr>
        <w:t xml:space="preserve">Employees, Locals 631 and 872 and </w:t>
      </w:r>
      <w:r w:rsidRPr="00737801">
        <w:rPr>
          <w:rFonts w:eastAsia="Times New Roman"/>
          <w:b/>
          <w:sz w:val="24"/>
          <w:szCs w:val="24"/>
        </w:rPr>
        <w:tab/>
        <w:t>)</w:t>
      </w:r>
    </w:p>
    <w:p w14:paraId="4A42B89E" w14:textId="77777777"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b/>
          <w:sz w:val="24"/>
          <w:szCs w:val="24"/>
        </w:rPr>
      </w:pPr>
      <w:r w:rsidRPr="00737801">
        <w:rPr>
          <w:rFonts w:eastAsia="Times New Roman"/>
          <w:b/>
          <w:sz w:val="24"/>
          <w:szCs w:val="24"/>
        </w:rPr>
        <w:t>National Association of Government</w:t>
      </w:r>
      <w:r w:rsidRPr="00737801">
        <w:rPr>
          <w:rFonts w:eastAsia="Times New Roman"/>
          <w:b/>
          <w:sz w:val="24"/>
          <w:szCs w:val="24"/>
        </w:rPr>
        <w:tab/>
        <w:t>)</w:t>
      </w:r>
    </w:p>
    <w:p w14:paraId="7CB1562B" w14:textId="4EDB68DB"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b/>
          <w:sz w:val="24"/>
          <w:szCs w:val="24"/>
        </w:rPr>
      </w:pPr>
      <w:r w:rsidRPr="00737801">
        <w:rPr>
          <w:rFonts w:eastAsia="Times New Roman"/>
          <w:b/>
          <w:sz w:val="24"/>
          <w:szCs w:val="24"/>
        </w:rPr>
        <w:t>Employees, Local R3-06</w:t>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w:t>
      </w:r>
    </w:p>
    <w:p w14:paraId="3A43A87B" w14:textId="77777777"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b/>
          <w:sz w:val="24"/>
          <w:szCs w:val="24"/>
        </w:rPr>
      </w:pP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w:t>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p>
    <w:p w14:paraId="50A35013" w14:textId="77777777"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b/>
          <w:sz w:val="24"/>
          <w:szCs w:val="24"/>
        </w:rPr>
      </w:pP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Complainant</w:t>
      </w:r>
      <w:r w:rsidRPr="00737801">
        <w:rPr>
          <w:rFonts w:eastAsia="Times New Roman"/>
          <w:b/>
          <w:sz w:val="24"/>
          <w:szCs w:val="24"/>
        </w:rPr>
        <w:tab/>
      </w:r>
      <w:r w:rsidRPr="00737801">
        <w:rPr>
          <w:rFonts w:eastAsia="Times New Roman"/>
          <w:b/>
          <w:sz w:val="24"/>
          <w:szCs w:val="24"/>
        </w:rPr>
        <w:tab/>
        <w:t>)</w:t>
      </w:r>
      <w:r w:rsidRPr="00737801">
        <w:rPr>
          <w:rFonts w:eastAsia="Times New Roman"/>
          <w:b/>
          <w:sz w:val="24"/>
          <w:szCs w:val="24"/>
        </w:rPr>
        <w:tab/>
      </w:r>
      <w:r w:rsidRPr="00737801">
        <w:rPr>
          <w:rFonts w:eastAsia="Times New Roman"/>
          <w:b/>
          <w:sz w:val="24"/>
          <w:szCs w:val="24"/>
        </w:rPr>
        <w:tab/>
      </w:r>
    </w:p>
    <w:p w14:paraId="2443B721" w14:textId="77777777"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b/>
          <w:sz w:val="24"/>
          <w:szCs w:val="24"/>
        </w:rPr>
      </w:pPr>
      <w:r w:rsidRPr="00737801">
        <w:rPr>
          <w:rFonts w:eastAsia="Times New Roman"/>
          <w:b/>
          <w:sz w:val="24"/>
          <w:szCs w:val="24"/>
        </w:rPr>
        <w:tab/>
        <w:t xml:space="preserve">                           </w:t>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 xml:space="preserve">)  </w:t>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p>
    <w:p w14:paraId="54D538BD" w14:textId="041AF3FA"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5040" w:hanging="5040"/>
        <w:jc w:val="both"/>
        <w:rPr>
          <w:rFonts w:eastAsia="Times New Roman"/>
          <w:b/>
          <w:sz w:val="24"/>
          <w:szCs w:val="24"/>
        </w:rPr>
      </w:pPr>
      <w:r w:rsidRPr="00737801">
        <w:rPr>
          <w:rFonts w:eastAsia="Times New Roman"/>
          <w:b/>
          <w:sz w:val="24"/>
          <w:szCs w:val="24"/>
        </w:rPr>
        <w:t xml:space="preserve">          </w:t>
      </w:r>
      <w:r w:rsidRPr="00737801">
        <w:rPr>
          <w:rFonts w:eastAsia="Times New Roman"/>
          <w:b/>
          <w:sz w:val="24"/>
          <w:szCs w:val="24"/>
        </w:rPr>
        <w:tab/>
      </w:r>
      <w:r w:rsidRPr="00737801">
        <w:rPr>
          <w:rFonts w:eastAsia="Times New Roman"/>
          <w:b/>
          <w:sz w:val="24"/>
          <w:szCs w:val="24"/>
        </w:rPr>
        <w:tab/>
        <w:t>v.</w:t>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w:t>
      </w:r>
      <w:r w:rsidRPr="00737801">
        <w:rPr>
          <w:rFonts w:eastAsia="Times New Roman"/>
          <w:b/>
          <w:sz w:val="24"/>
          <w:szCs w:val="24"/>
        </w:rPr>
        <w:tab/>
      </w:r>
      <w:r w:rsidRPr="00737801">
        <w:rPr>
          <w:rFonts w:eastAsia="Times New Roman"/>
          <w:b/>
          <w:bCs/>
          <w:sz w:val="24"/>
          <w:szCs w:val="24"/>
        </w:rPr>
        <w:t xml:space="preserve">PERB Case No. </w:t>
      </w:r>
      <w:r w:rsidR="004862BA" w:rsidRPr="00737801">
        <w:rPr>
          <w:rFonts w:eastAsia="Times New Roman"/>
          <w:b/>
          <w:bCs/>
          <w:sz w:val="24"/>
          <w:szCs w:val="24"/>
        </w:rPr>
        <w:t xml:space="preserve"> </w:t>
      </w:r>
      <w:r w:rsidRPr="00737801">
        <w:rPr>
          <w:rFonts w:eastAsia="Times New Roman"/>
          <w:b/>
          <w:bCs/>
          <w:sz w:val="24"/>
          <w:szCs w:val="24"/>
        </w:rPr>
        <w:t>22-U-18</w:t>
      </w:r>
    </w:p>
    <w:p w14:paraId="12EE9D01" w14:textId="77777777"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b/>
          <w:sz w:val="24"/>
          <w:szCs w:val="24"/>
        </w:rPr>
      </w:pPr>
      <w:r w:rsidRPr="00737801">
        <w:rPr>
          <w:rFonts w:eastAsia="Times New Roman"/>
          <w:b/>
          <w:sz w:val="24"/>
          <w:szCs w:val="24"/>
        </w:rPr>
        <w:tab/>
        <w:t xml:space="preserve">                           </w:t>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w:t>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p>
    <w:p w14:paraId="6709E9E1" w14:textId="61B69F23"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b/>
          <w:sz w:val="24"/>
          <w:szCs w:val="24"/>
        </w:rPr>
      </w:pPr>
      <w:r w:rsidRPr="00737801">
        <w:rPr>
          <w:rFonts w:eastAsia="Times New Roman"/>
          <w:b/>
          <w:sz w:val="24"/>
          <w:szCs w:val="24"/>
        </w:rPr>
        <w:t xml:space="preserve">District of Columbia Water and Sewer </w:t>
      </w:r>
      <w:r w:rsidRPr="00737801">
        <w:rPr>
          <w:rFonts w:eastAsia="Times New Roman"/>
          <w:b/>
          <w:sz w:val="24"/>
          <w:szCs w:val="24"/>
        </w:rPr>
        <w:tab/>
        <w:t>)</w:t>
      </w:r>
      <w:r w:rsidRPr="00737801">
        <w:rPr>
          <w:rFonts w:eastAsia="Times New Roman"/>
          <w:b/>
          <w:sz w:val="24"/>
          <w:szCs w:val="24"/>
        </w:rPr>
        <w:tab/>
        <w:t xml:space="preserve">Opinion No. </w:t>
      </w:r>
      <w:r w:rsidR="00B10498">
        <w:rPr>
          <w:rFonts w:eastAsia="Times New Roman"/>
          <w:b/>
          <w:sz w:val="24"/>
          <w:szCs w:val="24"/>
        </w:rPr>
        <w:t>1837</w:t>
      </w:r>
    </w:p>
    <w:p w14:paraId="025E57A0" w14:textId="703CB626"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both"/>
        <w:rPr>
          <w:rFonts w:eastAsia="Times New Roman"/>
          <w:b/>
          <w:sz w:val="24"/>
          <w:szCs w:val="24"/>
        </w:rPr>
      </w:pPr>
      <w:r w:rsidRPr="00737801">
        <w:rPr>
          <w:rFonts w:eastAsia="Times New Roman"/>
          <w:b/>
          <w:sz w:val="24"/>
          <w:szCs w:val="24"/>
        </w:rPr>
        <w:t>Authority</w:t>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 xml:space="preserve"> </w:t>
      </w:r>
      <w:r w:rsidRPr="00737801">
        <w:rPr>
          <w:rFonts w:eastAsia="Times New Roman"/>
          <w:b/>
          <w:sz w:val="24"/>
          <w:szCs w:val="24"/>
        </w:rPr>
        <w:tab/>
        <w:t>)</w:t>
      </w:r>
    </w:p>
    <w:p w14:paraId="78544467" w14:textId="77777777"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both"/>
        <w:rPr>
          <w:rFonts w:eastAsia="Times New Roman"/>
          <w:b/>
          <w:sz w:val="24"/>
          <w:szCs w:val="24"/>
        </w:rPr>
      </w:pP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w:t>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p>
    <w:p w14:paraId="53D114DC" w14:textId="77777777"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both"/>
        <w:rPr>
          <w:rFonts w:eastAsia="Times New Roman"/>
          <w:b/>
          <w:sz w:val="24"/>
          <w:szCs w:val="24"/>
        </w:rPr>
      </w:pP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w:t>
      </w:r>
    </w:p>
    <w:p w14:paraId="171A2CFE" w14:textId="77777777" w:rsidR="00123E28" w:rsidRPr="00737801"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both"/>
        <w:rPr>
          <w:rFonts w:eastAsia="Times New Roman"/>
          <w:b/>
          <w:sz w:val="24"/>
          <w:szCs w:val="24"/>
        </w:rPr>
      </w:pP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r>
      <w:r w:rsidRPr="00737801">
        <w:rPr>
          <w:rFonts w:eastAsia="Times New Roman"/>
          <w:b/>
          <w:sz w:val="24"/>
          <w:szCs w:val="24"/>
        </w:rPr>
        <w:tab/>
        <w:t>Respondent</w:t>
      </w:r>
      <w:r w:rsidRPr="00737801">
        <w:rPr>
          <w:rFonts w:eastAsia="Times New Roman"/>
          <w:b/>
          <w:sz w:val="24"/>
          <w:szCs w:val="24"/>
        </w:rPr>
        <w:tab/>
      </w:r>
      <w:r w:rsidRPr="00737801">
        <w:rPr>
          <w:rFonts w:eastAsia="Times New Roman"/>
          <w:b/>
          <w:sz w:val="24"/>
          <w:szCs w:val="24"/>
        </w:rPr>
        <w:tab/>
        <w:t>)</w:t>
      </w:r>
    </w:p>
    <w:p w14:paraId="623CC36B" w14:textId="0A436F60" w:rsidR="00123E28" w:rsidRPr="00737801" w:rsidRDefault="00123E28" w:rsidP="00123E28">
      <w:pPr>
        <w:widowControl w:val="0"/>
        <w:tabs>
          <w:tab w:val="left" w:pos="-1209"/>
          <w:tab w:val="left" w:pos="-720"/>
          <w:tab w:val="left" w:pos="0"/>
          <w:tab w:val="left" w:pos="720"/>
          <w:tab w:val="left" w:pos="1440"/>
          <w:tab w:val="left" w:pos="1620"/>
          <w:tab w:val="left" w:pos="1800"/>
          <w:tab w:val="left" w:pos="2160"/>
          <w:tab w:val="left" w:pos="2880"/>
          <w:tab w:val="left" w:pos="3600"/>
          <w:tab w:val="left" w:pos="4320"/>
        </w:tabs>
        <w:autoSpaceDE w:val="0"/>
        <w:autoSpaceDN w:val="0"/>
        <w:adjustRightInd w:val="0"/>
        <w:spacing w:after="0" w:line="240" w:lineRule="auto"/>
        <w:jc w:val="both"/>
        <w:rPr>
          <w:rFonts w:eastAsia="Times New Roman"/>
          <w:b/>
          <w:sz w:val="24"/>
          <w:szCs w:val="24"/>
        </w:rPr>
      </w:pPr>
      <w:r w:rsidRPr="00737801">
        <w:rPr>
          <w:rFonts w:eastAsia="Times New Roman"/>
          <w:b/>
          <w:sz w:val="24"/>
          <w:szCs w:val="24"/>
        </w:rPr>
        <w:t>_____________________________</w:t>
      </w:r>
      <w:r w:rsidR="0041137A" w:rsidRPr="00737801">
        <w:rPr>
          <w:rFonts w:eastAsia="Times New Roman"/>
          <w:b/>
          <w:sz w:val="24"/>
          <w:szCs w:val="24"/>
        </w:rPr>
        <w:t>__</w:t>
      </w:r>
      <w:r w:rsidRPr="00737801">
        <w:rPr>
          <w:rFonts w:eastAsia="Times New Roman"/>
          <w:b/>
          <w:sz w:val="24"/>
          <w:szCs w:val="24"/>
        </w:rPr>
        <w:t>_____)</w:t>
      </w:r>
    </w:p>
    <w:p w14:paraId="60BAEE8D" w14:textId="3BC67F12" w:rsidR="00540425" w:rsidRPr="00737801" w:rsidRDefault="00540425" w:rsidP="00E57DF5">
      <w:pPr>
        <w:pStyle w:val="NoSpacing"/>
        <w:jc w:val="both"/>
      </w:pPr>
    </w:p>
    <w:p w14:paraId="3D076563" w14:textId="3F7A6E7D" w:rsidR="006A5CCF" w:rsidRPr="00737801" w:rsidRDefault="006A5CCF" w:rsidP="0068484B">
      <w:pPr>
        <w:pStyle w:val="NoSpacing"/>
        <w:spacing w:after="200"/>
        <w:jc w:val="center"/>
      </w:pPr>
      <w:r w:rsidRPr="00737801">
        <w:rPr>
          <w:b/>
          <w:bCs/>
          <w:u w:val="single"/>
        </w:rPr>
        <w:t>DECISION AND ORDER</w:t>
      </w:r>
    </w:p>
    <w:p w14:paraId="423020DE" w14:textId="1A35CF4E" w:rsidR="00C878AF" w:rsidRPr="00737801" w:rsidRDefault="00A5372F" w:rsidP="0068484B">
      <w:pPr>
        <w:pStyle w:val="NoSpacing"/>
        <w:numPr>
          <w:ilvl w:val="0"/>
          <w:numId w:val="1"/>
        </w:numPr>
        <w:spacing w:after="200"/>
        <w:ind w:left="720"/>
        <w:jc w:val="both"/>
      </w:pPr>
      <w:bookmarkStart w:id="0" w:name="_Hlk117848626"/>
      <w:r w:rsidRPr="00737801">
        <w:rPr>
          <w:b/>
          <w:bCs/>
        </w:rPr>
        <w:t>Statement of the Case</w:t>
      </w:r>
    </w:p>
    <w:p w14:paraId="726BE684" w14:textId="46CC40E6" w:rsidR="009C377D" w:rsidRPr="00737801" w:rsidRDefault="00317801" w:rsidP="0068484B">
      <w:pPr>
        <w:pStyle w:val="NoSpacing"/>
        <w:spacing w:after="200"/>
        <w:ind w:firstLine="720"/>
        <w:jc w:val="both"/>
      </w:pPr>
      <w:r w:rsidRPr="00737801">
        <w:t xml:space="preserve">On </w:t>
      </w:r>
      <w:r w:rsidR="00123E28" w:rsidRPr="00737801">
        <w:t>July 20, 2022</w:t>
      </w:r>
      <w:r w:rsidRPr="00737801">
        <w:t xml:space="preserve">, </w:t>
      </w:r>
      <w:r w:rsidR="00123E28" w:rsidRPr="00737801">
        <w:t>the American Federation of Government Employees, Locals 631 and 872, and the National Association of Government Employees, Local R3-06, (</w:t>
      </w:r>
      <w:r w:rsidR="00DB38EF" w:rsidRPr="00737801">
        <w:t>Unions</w:t>
      </w:r>
      <w:r w:rsidR="00123E28" w:rsidRPr="00737801">
        <w:t>) filed an unfair labor practice complaint (Complaint)</w:t>
      </w:r>
      <w:r w:rsidRPr="00737801">
        <w:t xml:space="preserve"> pursuant to </w:t>
      </w:r>
      <w:r w:rsidR="00321304" w:rsidRPr="00737801">
        <w:t>section 1-617.04(a)(1), (3), and (5</w:t>
      </w:r>
      <w:r w:rsidR="00C87AF4" w:rsidRPr="00737801">
        <w:t>)</w:t>
      </w:r>
      <w:r w:rsidR="004862BA" w:rsidRPr="00737801">
        <w:t xml:space="preserve"> of the Comprehensive Merit Personnel Act (CMPA)</w:t>
      </w:r>
      <w:r w:rsidRPr="00737801">
        <w:t>.</w:t>
      </w:r>
      <w:r w:rsidRPr="00737801">
        <w:rPr>
          <w:rStyle w:val="FootnoteReference"/>
        </w:rPr>
        <w:footnoteReference w:id="2"/>
      </w:r>
      <w:r w:rsidRPr="00737801">
        <w:t xml:space="preserve"> </w:t>
      </w:r>
      <w:r w:rsidR="004862BA" w:rsidRPr="00737801">
        <w:t xml:space="preserve"> </w:t>
      </w:r>
      <w:r w:rsidR="0078545B" w:rsidRPr="00737801">
        <w:t xml:space="preserve">The </w:t>
      </w:r>
      <w:r w:rsidR="00183E88" w:rsidRPr="00737801">
        <w:t>Unions allege</w:t>
      </w:r>
      <w:r w:rsidR="00C50994" w:rsidRPr="00737801">
        <w:t xml:space="preserve"> that </w:t>
      </w:r>
      <w:r w:rsidR="00F60791" w:rsidRPr="00737801">
        <w:t>the D.C. Water and Sewer Authority</w:t>
      </w:r>
      <w:r w:rsidR="00C50994" w:rsidRPr="00737801">
        <w:t xml:space="preserve"> </w:t>
      </w:r>
      <w:r w:rsidR="00F60791" w:rsidRPr="00737801">
        <w:t xml:space="preserve">(WASA) </w:t>
      </w:r>
      <w:r w:rsidR="00C50994" w:rsidRPr="00737801">
        <w:t xml:space="preserve">violated the CMPA by: (1) </w:t>
      </w:r>
      <w:r w:rsidR="007E53A1" w:rsidRPr="00737801">
        <w:t xml:space="preserve">unilaterally implementing a new payroll system without bargaining </w:t>
      </w:r>
      <w:r w:rsidR="004758A2">
        <w:t xml:space="preserve">over </w:t>
      </w:r>
      <w:r w:rsidR="007E53A1" w:rsidRPr="00737801">
        <w:t xml:space="preserve">impact and effects; (2) refusing to bargain over the implementation of the new payroll system; and (3) refusing to provide </w:t>
      </w:r>
      <w:r w:rsidR="00092AA1" w:rsidRPr="00737801">
        <w:t xml:space="preserve">the Unions with </w:t>
      </w:r>
      <w:r w:rsidR="007E53A1" w:rsidRPr="00737801">
        <w:t xml:space="preserve">necessary and relevant </w:t>
      </w:r>
      <w:r w:rsidR="00092AA1" w:rsidRPr="00737801">
        <w:t>information to prepare proposals</w:t>
      </w:r>
      <w:r w:rsidR="007E53A1" w:rsidRPr="00737801">
        <w:t xml:space="preserve"> for bargaining.</w:t>
      </w:r>
      <w:r w:rsidR="007E53A1" w:rsidRPr="00737801">
        <w:rPr>
          <w:rStyle w:val="FootnoteReference"/>
        </w:rPr>
        <w:footnoteReference w:id="3"/>
      </w:r>
      <w:r w:rsidR="00291338" w:rsidRPr="00737801">
        <w:t xml:space="preserve"> </w:t>
      </w:r>
      <w:r w:rsidRPr="00737801">
        <w:t xml:space="preserve"> </w:t>
      </w:r>
      <w:r w:rsidR="007E53A1" w:rsidRPr="00737801">
        <w:t xml:space="preserve">The </w:t>
      </w:r>
      <w:r w:rsidR="00F60791" w:rsidRPr="00737801">
        <w:t>Unions assert</w:t>
      </w:r>
      <w:r w:rsidR="007E53A1" w:rsidRPr="00737801">
        <w:t xml:space="preserve"> these actions by WASA constitute repudiation of the parties’ collective bargaining agreements (CBAs), failure to bargain in good faith, and interference with the rights of bargaining unit </w:t>
      </w:r>
      <w:r w:rsidR="004758A2">
        <w:t>employees</w:t>
      </w:r>
      <w:r w:rsidR="007E53A1" w:rsidRPr="00737801">
        <w:t>.</w:t>
      </w:r>
      <w:r w:rsidR="007E53A1" w:rsidRPr="00737801">
        <w:rPr>
          <w:rStyle w:val="FootnoteReference"/>
        </w:rPr>
        <w:footnoteReference w:id="4"/>
      </w:r>
      <w:r w:rsidR="007E53A1" w:rsidRPr="00737801">
        <w:t xml:space="preserve"> </w:t>
      </w:r>
      <w:r w:rsidR="00F957FB" w:rsidRPr="00737801">
        <w:t xml:space="preserve">  </w:t>
      </w:r>
    </w:p>
    <w:p w14:paraId="4A5D3917" w14:textId="76E05F1D" w:rsidR="00092AA1" w:rsidRPr="00737801" w:rsidRDefault="00C87AF4" w:rsidP="00092AA1">
      <w:pPr>
        <w:pStyle w:val="NoSpacing"/>
        <w:ind w:firstLine="720"/>
        <w:jc w:val="both"/>
      </w:pPr>
      <w:r w:rsidRPr="00737801">
        <w:t>Upon consideration of the Hearing Examiner’s Report and Recommendations (Report), applicable law</w:t>
      </w:r>
      <w:r w:rsidR="000A4CA6">
        <w:t>,</w:t>
      </w:r>
      <w:r w:rsidRPr="00737801">
        <w:t xml:space="preserve"> </w:t>
      </w:r>
      <w:r w:rsidR="000A4CA6">
        <w:t>the parties’ oral arguments before the Board, and the record</w:t>
      </w:r>
      <w:r w:rsidR="00092AA1" w:rsidRPr="00737801">
        <w:t xml:space="preserve"> </w:t>
      </w:r>
      <w:r w:rsidRPr="00737801">
        <w:t xml:space="preserve">presented by the parties, the Board finds that WASA committed an unfair labor practice by unilaterally </w:t>
      </w:r>
      <w:r w:rsidRPr="00737801">
        <w:lastRenderedPageBreak/>
        <w:t>implementing the new payroll system without bargaining</w:t>
      </w:r>
      <w:r w:rsidR="004758A2">
        <w:t xml:space="preserve"> over</w:t>
      </w:r>
      <w:r w:rsidRPr="00737801">
        <w:t xml:space="preserve"> impact and effects</w:t>
      </w:r>
      <w:r w:rsidR="00092AA1" w:rsidRPr="00737801">
        <w:t>,</w:t>
      </w:r>
      <w:r w:rsidRPr="00737801">
        <w:t xml:space="preserve"> </w:t>
      </w:r>
      <w:r w:rsidR="00092AA1" w:rsidRPr="00737801">
        <w:t>as requested by</w:t>
      </w:r>
      <w:r w:rsidRPr="00737801">
        <w:t xml:space="preserve"> the Unions. </w:t>
      </w:r>
      <w:r w:rsidR="00092AA1" w:rsidRPr="00737801">
        <w:t xml:space="preserve"> Conversely, the Board finds that WASA did not violate the CMPA in its responses to the Unions’ requests for information</w:t>
      </w:r>
      <w:r w:rsidR="00130DAE" w:rsidRPr="00737801">
        <w:t>.</w:t>
      </w:r>
    </w:p>
    <w:p w14:paraId="0C4A5F61" w14:textId="77777777" w:rsidR="00C87AF4" w:rsidRPr="00737801" w:rsidRDefault="00C87AF4" w:rsidP="00C87AF4">
      <w:pPr>
        <w:pStyle w:val="NoSpacing"/>
        <w:ind w:firstLine="720"/>
        <w:jc w:val="both"/>
      </w:pPr>
    </w:p>
    <w:p w14:paraId="50C48C54" w14:textId="33E731CB" w:rsidR="00C54758" w:rsidRPr="00737801" w:rsidRDefault="00A15A39" w:rsidP="004862BA">
      <w:pPr>
        <w:pStyle w:val="NoSpacing"/>
        <w:numPr>
          <w:ilvl w:val="0"/>
          <w:numId w:val="1"/>
        </w:numPr>
        <w:spacing w:after="200"/>
        <w:ind w:left="720"/>
        <w:jc w:val="both"/>
        <w:rPr>
          <w:b/>
          <w:bCs/>
        </w:rPr>
      </w:pPr>
      <w:r w:rsidRPr="00737801">
        <w:rPr>
          <w:b/>
          <w:bCs/>
        </w:rPr>
        <w:t>Hearing Examiner’s Report and Recommendations</w:t>
      </w:r>
    </w:p>
    <w:p w14:paraId="222C2A37" w14:textId="48B3ED60" w:rsidR="003E3F5C" w:rsidRPr="00737801" w:rsidRDefault="00C54758" w:rsidP="0068484B">
      <w:pPr>
        <w:pStyle w:val="NoSpacing"/>
        <w:numPr>
          <w:ilvl w:val="0"/>
          <w:numId w:val="5"/>
        </w:numPr>
        <w:spacing w:after="200"/>
        <w:ind w:left="1440"/>
        <w:jc w:val="both"/>
      </w:pPr>
      <w:r w:rsidRPr="00737801">
        <w:rPr>
          <w:b/>
          <w:bCs/>
        </w:rPr>
        <w:t>Factual Findings</w:t>
      </w:r>
    </w:p>
    <w:p w14:paraId="755304CB" w14:textId="7D3E07B5" w:rsidR="00E82F20" w:rsidRPr="00737801" w:rsidRDefault="007B1E0E" w:rsidP="00C87AF4">
      <w:pPr>
        <w:pStyle w:val="NoSpacing"/>
        <w:spacing w:after="200"/>
        <w:ind w:firstLine="720"/>
        <w:jc w:val="both"/>
      </w:pPr>
      <w:r w:rsidRPr="00737801">
        <w:t xml:space="preserve">The Hearing Examiner made the following factual findings. </w:t>
      </w:r>
      <w:r w:rsidR="00C87AF4" w:rsidRPr="00737801">
        <w:t xml:space="preserve"> </w:t>
      </w:r>
      <w:r w:rsidR="00E972BA" w:rsidRPr="00737801">
        <w:t>On May 2, 2019, WASA’s Board of Directors voted to approve WASA’s subscription to Oracle.</w:t>
      </w:r>
      <w:r w:rsidR="00E972BA" w:rsidRPr="00737801">
        <w:rPr>
          <w:rStyle w:val="FootnoteReference"/>
        </w:rPr>
        <w:footnoteReference w:id="5"/>
      </w:r>
      <w:r w:rsidR="00901B1F" w:rsidRPr="00737801">
        <w:t xml:space="preserve">  </w:t>
      </w:r>
      <w:r w:rsidR="00281A5E" w:rsidRPr="00737801">
        <w:t xml:space="preserve">On August 27, 2021, </w:t>
      </w:r>
      <w:r w:rsidR="00855B05" w:rsidRPr="00737801">
        <w:t xml:space="preserve">and prior to implementation, </w:t>
      </w:r>
      <w:r w:rsidR="005F7639" w:rsidRPr="00737801">
        <w:t>the Unions</w:t>
      </w:r>
      <w:r w:rsidR="00281A5E" w:rsidRPr="00737801">
        <w:t xml:space="preserve"> requested to bargain</w:t>
      </w:r>
      <w:r w:rsidR="00855B05" w:rsidRPr="00737801">
        <w:t xml:space="preserve"> over </w:t>
      </w:r>
      <w:r w:rsidR="00281A5E" w:rsidRPr="00737801">
        <w:t xml:space="preserve">the new Oracle </w:t>
      </w:r>
      <w:r w:rsidR="00855B05" w:rsidRPr="00737801">
        <w:t>p</w:t>
      </w:r>
      <w:r w:rsidR="00281A5E" w:rsidRPr="00737801">
        <w:t xml:space="preserve">ayroll </w:t>
      </w:r>
      <w:r w:rsidR="00855B05" w:rsidRPr="00737801">
        <w:t>s</w:t>
      </w:r>
      <w:r w:rsidR="00281A5E" w:rsidRPr="00737801">
        <w:t>ystem.</w:t>
      </w:r>
      <w:r w:rsidR="00281A5E" w:rsidRPr="00737801">
        <w:rPr>
          <w:rStyle w:val="FootnoteReference"/>
        </w:rPr>
        <w:footnoteReference w:id="6"/>
      </w:r>
      <w:r w:rsidR="00281A5E" w:rsidRPr="00737801">
        <w:t xml:space="preserve">  </w:t>
      </w:r>
      <w:r w:rsidR="00855B05" w:rsidRPr="00737801">
        <w:t xml:space="preserve">In addition, </w:t>
      </w:r>
      <w:r w:rsidR="00D573B9" w:rsidRPr="00737801">
        <w:t>the Unions</w:t>
      </w:r>
      <w:r w:rsidR="00855B05" w:rsidRPr="00737801">
        <w:t xml:space="preserve"> requested</w:t>
      </w:r>
      <w:r w:rsidR="00B75225" w:rsidRPr="00737801">
        <w:t xml:space="preserve"> documents that explain the Oracle system for the purpose of preparing proposals and beginning bargaining.</w:t>
      </w:r>
      <w:r w:rsidR="00B75225" w:rsidRPr="00737801">
        <w:rPr>
          <w:rStyle w:val="FootnoteReference"/>
        </w:rPr>
        <w:footnoteReference w:id="7"/>
      </w:r>
    </w:p>
    <w:p w14:paraId="757142F5" w14:textId="16BC853E" w:rsidR="004862BA" w:rsidRPr="00737801" w:rsidRDefault="00D04E18" w:rsidP="007B23A3">
      <w:pPr>
        <w:pStyle w:val="NoSpacing"/>
        <w:spacing w:after="200"/>
        <w:ind w:firstLine="720"/>
        <w:jc w:val="both"/>
      </w:pPr>
      <w:r w:rsidRPr="00737801">
        <w:t xml:space="preserve">On </w:t>
      </w:r>
      <w:r w:rsidR="00AE785F">
        <w:t>March 11</w:t>
      </w:r>
      <w:r w:rsidRPr="00737801">
        <w:t xml:space="preserve">, 2022, </w:t>
      </w:r>
      <w:r w:rsidR="00E82F20" w:rsidRPr="00737801">
        <w:t xml:space="preserve">WASA notified the Unions </w:t>
      </w:r>
      <w:r w:rsidRPr="00737801">
        <w:t>that</w:t>
      </w:r>
      <w:r w:rsidR="006A6E84" w:rsidRPr="00737801">
        <w:t>, effective March 13, 2022,</w:t>
      </w:r>
      <w:r w:rsidRPr="00737801">
        <w:t xml:space="preserve"> it would </w:t>
      </w:r>
      <w:r w:rsidR="006A6E84" w:rsidRPr="00737801">
        <w:t>launch</w:t>
      </w:r>
      <w:r w:rsidRPr="00737801">
        <w:t xml:space="preserve"> Oracle</w:t>
      </w:r>
      <w:r w:rsidR="00334ED2" w:rsidRPr="00737801">
        <w:t>.</w:t>
      </w:r>
      <w:r w:rsidR="00334ED2" w:rsidRPr="00737801">
        <w:rPr>
          <w:rStyle w:val="FootnoteReference"/>
        </w:rPr>
        <w:footnoteReference w:id="8"/>
      </w:r>
      <w:r w:rsidR="00334ED2" w:rsidRPr="00737801">
        <w:t xml:space="preserve"> </w:t>
      </w:r>
      <w:r w:rsidR="00A539B6" w:rsidRPr="00737801">
        <w:t xml:space="preserve"> </w:t>
      </w:r>
      <w:r w:rsidR="006A6E84" w:rsidRPr="00737801">
        <w:t xml:space="preserve">On </w:t>
      </w:r>
      <w:r w:rsidR="00A539B6" w:rsidRPr="00737801">
        <w:t xml:space="preserve">March 14, 2022, </w:t>
      </w:r>
      <w:r w:rsidR="009467C8" w:rsidRPr="00737801">
        <w:t>the Unions</w:t>
      </w:r>
      <w:r w:rsidR="00A539B6" w:rsidRPr="00737801">
        <w:t xml:space="preserve"> reiterated </w:t>
      </w:r>
      <w:r w:rsidR="009467C8" w:rsidRPr="00737801">
        <w:t xml:space="preserve">their </w:t>
      </w:r>
      <w:r w:rsidR="00A539B6" w:rsidRPr="00737801">
        <w:t>request to bargain over the implementation of Oracle</w:t>
      </w:r>
      <w:r w:rsidR="006A6E84" w:rsidRPr="00737801">
        <w:t>.</w:t>
      </w:r>
      <w:r w:rsidR="006A6E84" w:rsidRPr="00737801">
        <w:rPr>
          <w:rStyle w:val="FootnoteReference"/>
        </w:rPr>
        <w:footnoteReference w:id="9"/>
      </w:r>
      <w:r w:rsidR="00EE68D6" w:rsidRPr="00737801">
        <w:t xml:space="preserve">  </w:t>
      </w:r>
      <w:r w:rsidR="00E34B83" w:rsidRPr="00737801">
        <w:t xml:space="preserve">In response, WASA </w:t>
      </w:r>
      <w:r w:rsidR="007B23A3" w:rsidRPr="00737801">
        <w:t>took the position that the implementation of the payroll system would not change terms and conditions of employment for bargaining unit employees.</w:t>
      </w:r>
      <w:r w:rsidR="007B23A3" w:rsidRPr="00737801">
        <w:rPr>
          <w:rStyle w:val="FootnoteReference"/>
        </w:rPr>
        <w:footnoteReference w:id="10"/>
      </w:r>
      <w:r w:rsidR="007B23A3" w:rsidRPr="00737801">
        <w:t xml:space="preserve">  WASA </w:t>
      </w:r>
      <w:r w:rsidR="006A6E84" w:rsidRPr="00737801">
        <w:t xml:space="preserve">sought clarification </w:t>
      </w:r>
      <w:r w:rsidR="007B23A3" w:rsidRPr="00737801">
        <w:t>of</w:t>
      </w:r>
      <w:r w:rsidR="006A6E84" w:rsidRPr="00737801">
        <w:t xml:space="preserve"> the Unions’ request to bargain</w:t>
      </w:r>
      <w:r w:rsidR="007B23A3" w:rsidRPr="00737801">
        <w:t xml:space="preserve"> </w:t>
      </w:r>
      <w:r w:rsidR="00E34B83" w:rsidRPr="00737801">
        <w:t xml:space="preserve">and asserted </w:t>
      </w:r>
      <w:r w:rsidR="006A6E84" w:rsidRPr="00737801">
        <w:t xml:space="preserve">that it was not obligated to bargain </w:t>
      </w:r>
      <w:r w:rsidR="007B23A3" w:rsidRPr="00737801">
        <w:t>over this management decision in the absence of a showing that the implementation of Oracle would change any terms and conditions of employment.</w:t>
      </w:r>
      <w:r w:rsidR="00E34B83" w:rsidRPr="00737801">
        <w:rPr>
          <w:rStyle w:val="FootnoteReference"/>
        </w:rPr>
        <w:footnoteReference w:id="11"/>
      </w:r>
      <w:r w:rsidR="00E34B83" w:rsidRPr="00737801">
        <w:t xml:space="preserve">  </w:t>
      </w:r>
    </w:p>
    <w:p w14:paraId="4F48362D" w14:textId="279003A0" w:rsidR="00061E3D" w:rsidRPr="00737801" w:rsidRDefault="00061E3D" w:rsidP="00C87AF4">
      <w:pPr>
        <w:pStyle w:val="NoSpacing"/>
        <w:spacing w:after="200"/>
        <w:ind w:firstLine="720"/>
        <w:jc w:val="both"/>
      </w:pPr>
      <w:r w:rsidRPr="00737801">
        <w:t xml:space="preserve">On March 17, 2022, </w:t>
      </w:r>
      <w:r w:rsidR="009B1F38" w:rsidRPr="00737801">
        <w:t>the Unions</w:t>
      </w:r>
      <w:r w:rsidRPr="00737801">
        <w:t xml:space="preserve"> submitted </w:t>
      </w:r>
      <w:r w:rsidR="007B23A3" w:rsidRPr="00737801">
        <w:t>a second</w:t>
      </w:r>
      <w:r w:rsidR="009B1F38" w:rsidRPr="00737801">
        <w:t xml:space="preserve"> </w:t>
      </w:r>
      <w:r w:rsidR="007B23A3" w:rsidRPr="00737801">
        <w:t>request for information</w:t>
      </w:r>
      <w:r w:rsidRPr="00737801">
        <w:t xml:space="preserve"> </w:t>
      </w:r>
      <w:r w:rsidR="007B23A3" w:rsidRPr="00737801">
        <w:t>from</w:t>
      </w:r>
      <w:r w:rsidRPr="00737801">
        <w:t xml:space="preserve"> WASA for the purpose of impact and effects bargaining</w:t>
      </w:r>
      <w:r w:rsidR="009B1F38" w:rsidRPr="00737801">
        <w:t xml:space="preserve">. </w:t>
      </w:r>
      <w:r w:rsidR="00E34B83" w:rsidRPr="00737801">
        <w:t xml:space="preserve"> </w:t>
      </w:r>
      <w:r w:rsidR="009B1F38" w:rsidRPr="00737801">
        <w:t xml:space="preserve">The </w:t>
      </w:r>
      <w:r w:rsidR="0098250C" w:rsidRPr="00737801">
        <w:t>request</w:t>
      </w:r>
      <w:r w:rsidR="009B1F38" w:rsidRPr="00737801">
        <w:t xml:space="preserve"> </w:t>
      </w:r>
      <w:r w:rsidRPr="00737801">
        <w:t xml:space="preserve">sought </w:t>
      </w:r>
      <w:r w:rsidR="009B1F38" w:rsidRPr="00737801">
        <w:t xml:space="preserve">information that </w:t>
      </w:r>
      <w:r w:rsidR="00746D2A">
        <w:t xml:space="preserve">assertedly </w:t>
      </w:r>
      <w:r w:rsidRPr="00737801">
        <w:t>was necessary for the Unions to prepare proposals on the new payroll system.</w:t>
      </w:r>
      <w:r w:rsidRPr="00737801">
        <w:rPr>
          <w:rStyle w:val="FootnoteReference"/>
        </w:rPr>
        <w:footnoteReference w:id="12"/>
      </w:r>
      <w:r w:rsidRPr="00737801">
        <w:t xml:space="preserve">  The Unions also submitted a </w:t>
      </w:r>
      <w:r w:rsidR="007B23A3" w:rsidRPr="00737801">
        <w:t xml:space="preserve">bargaining </w:t>
      </w:r>
      <w:r w:rsidRPr="00737801">
        <w:t>proposal on Oracle to WASA.</w:t>
      </w:r>
      <w:r w:rsidRPr="00737801">
        <w:rPr>
          <w:rStyle w:val="FootnoteReference"/>
        </w:rPr>
        <w:footnoteReference w:id="13"/>
      </w:r>
      <w:r w:rsidR="00F315BF" w:rsidRPr="00737801">
        <w:t xml:space="preserve">  </w:t>
      </w:r>
      <w:r w:rsidR="00055323" w:rsidRPr="00737801">
        <w:t>On March 30, 2022, the Unions submitted</w:t>
      </w:r>
      <w:r w:rsidR="002B0170" w:rsidRPr="00737801">
        <w:t xml:space="preserve"> </w:t>
      </w:r>
      <w:r w:rsidR="00AB51C6" w:rsidRPr="00737801">
        <w:lastRenderedPageBreak/>
        <w:t>a third request for information</w:t>
      </w:r>
      <w:r w:rsidR="00055323" w:rsidRPr="00737801">
        <w:t xml:space="preserve"> to WASA </w:t>
      </w:r>
      <w:r w:rsidR="00AB51C6" w:rsidRPr="00737801">
        <w:t>regarding</w:t>
      </w:r>
      <w:r w:rsidR="00C24F91" w:rsidRPr="00737801">
        <w:t xml:space="preserve"> </w:t>
      </w:r>
      <w:r w:rsidR="00055323" w:rsidRPr="00737801">
        <w:t>the time clocks that bargaining unit employees would use.</w:t>
      </w:r>
      <w:r w:rsidR="00055323" w:rsidRPr="00737801">
        <w:rPr>
          <w:rStyle w:val="FootnoteReference"/>
        </w:rPr>
        <w:footnoteReference w:id="14"/>
      </w:r>
      <w:r w:rsidR="00055323" w:rsidRPr="00737801">
        <w:t xml:space="preserve">  </w:t>
      </w:r>
    </w:p>
    <w:p w14:paraId="0D347C44" w14:textId="4F4C833A" w:rsidR="00AB51C6" w:rsidRPr="00737801" w:rsidRDefault="00061E3D" w:rsidP="00C87AF4">
      <w:pPr>
        <w:pStyle w:val="NoSpacing"/>
        <w:spacing w:after="200"/>
        <w:ind w:firstLine="720"/>
        <w:jc w:val="both"/>
      </w:pPr>
      <w:r w:rsidRPr="00737801">
        <w:t xml:space="preserve">Separately, </w:t>
      </w:r>
      <w:r w:rsidR="00D938DA" w:rsidRPr="00737801">
        <w:t>beginning in March 2022, the Unions</w:t>
      </w:r>
      <w:r w:rsidRPr="00737801">
        <w:t xml:space="preserve"> </w:t>
      </w:r>
      <w:r w:rsidR="00D938DA" w:rsidRPr="00737801">
        <w:t>continu</w:t>
      </w:r>
      <w:r w:rsidR="004862BA" w:rsidRPr="00737801">
        <w:t>ed to</w:t>
      </w:r>
      <w:r w:rsidR="00D938DA" w:rsidRPr="00737801">
        <w:t xml:space="preserve"> </w:t>
      </w:r>
      <w:r w:rsidR="004862BA" w:rsidRPr="00737801">
        <w:t>notify WASA about</w:t>
      </w:r>
      <w:r w:rsidRPr="00737801">
        <w:t xml:space="preserve"> concerns </w:t>
      </w:r>
      <w:r w:rsidR="00D938DA" w:rsidRPr="00737801">
        <w:t xml:space="preserve">and errors </w:t>
      </w:r>
      <w:r w:rsidRPr="00737801">
        <w:t xml:space="preserve">regarding </w:t>
      </w:r>
      <w:r w:rsidR="00D938DA" w:rsidRPr="00737801">
        <w:t xml:space="preserve">employee </w:t>
      </w:r>
      <w:r w:rsidRPr="00737801">
        <w:t>information, union dues status and benefits as viewed within Oracle.</w:t>
      </w:r>
      <w:r w:rsidR="009F3CE8" w:rsidRPr="00737801">
        <w:rPr>
          <w:rStyle w:val="FootnoteReference"/>
        </w:rPr>
        <w:footnoteReference w:id="15"/>
      </w:r>
      <w:r w:rsidRPr="00737801">
        <w:t xml:space="preserve">  </w:t>
      </w:r>
      <w:r w:rsidR="00D938DA" w:rsidRPr="00737801">
        <w:t xml:space="preserve">On several occasions between March 16, 2022, and May 3, 2022, </w:t>
      </w:r>
      <w:r w:rsidR="00AD6491" w:rsidRPr="00737801">
        <w:t>the Unions informed WASA of a variety of issues and errors stemming from the implementation of the Oracle payroll system.</w:t>
      </w:r>
      <w:r w:rsidR="00C87AF4" w:rsidRPr="00737801">
        <w:rPr>
          <w:rStyle w:val="FootnoteReference"/>
        </w:rPr>
        <w:footnoteReference w:id="16"/>
      </w:r>
      <w:r w:rsidR="00AD6491" w:rsidRPr="00737801">
        <w:t xml:space="preserve">  </w:t>
      </w:r>
    </w:p>
    <w:p w14:paraId="77052450" w14:textId="10F2F056" w:rsidR="00F005FD" w:rsidRPr="00737801" w:rsidRDefault="00AB51C6" w:rsidP="00AB51C6">
      <w:pPr>
        <w:pStyle w:val="NoSpacing"/>
        <w:spacing w:after="200"/>
        <w:ind w:firstLine="720"/>
        <w:jc w:val="both"/>
      </w:pPr>
      <w:r w:rsidRPr="00737801">
        <w:t xml:space="preserve">The Unions further expressed concerns about differences in the dues deduction reports by Oracle compared to the previous payroll system.  Specifically, the Unions </w:t>
      </w:r>
      <w:r w:rsidR="00746D2A">
        <w:t>informed WASA that</w:t>
      </w:r>
      <w:r w:rsidRPr="00737801">
        <w:t xml:space="preserve"> the Oracle dues deduction reports: </w:t>
      </w:r>
      <w:r w:rsidR="00F005FD" w:rsidRPr="00737801">
        <w:t xml:space="preserve">(1) were missing information; (2) listed incorrect information regarding which </w:t>
      </w:r>
      <w:r w:rsidR="00DD0407">
        <w:t>employees belonged within each bargaining unit</w:t>
      </w:r>
      <w:r w:rsidR="00F005FD" w:rsidRPr="00737801">
        <w:t xml:space="preserve"> and whether employees were to remain dues-paying members; and (3) did not list non-dues paying bargaining unit employees.</w:t>
      </w:r>
      <w:r w:rsidR="00F005FD" w:rsidRPr="00737801">
        <w:rPr>
          <w:rStyle w:val="FootnoteReference"/>
        </w:rPr>
        <w:footnoteReference w:id="17"/>
      </w:r>
      <w:r w:rsidR="00746D2A">
        <w:t xml:space="preserve">  </w:t>
      </w:r>
      <w:r w:rsidR="00746D2A" w:rsidRPr="00746D2A">
        <w:t>The reported issues included missing or erroneously unimplemented benefits, benefits erroneously applied to individual employees only and not their families, employees’ difficulty or inability to access implemented benefits, incorrect biographical information, missing information on the payment of union dues, errors in employee leave accrual and balances and concerns about changes to which pay period such leave accruals would be applied.  The Unions also reported concerns about allegedly excessive private information on pay slips and the denial of overtime for an office assistant tasked with processing Oracle payroll issues.</w:t>
      </w:r>
      <w:r w:rsidR="00746D2A">
        <w:rPr>
          <w:rStyle w:val="FootnoteReference"/>
        </w:rPr>
        <w:footnoteReference w:id="18"/>
      </w:r>
      <w:r w:rsidR="00F005FD" w:rsidRPr="00737801">
        <w:t xml:space="preserve">  </w:t>
      </w:r>
      <w:r w:rsidR="00E25CDA" w:rsidRPr="00737801">
        <w:t>The Hearing Examiner found no factual dispute between the parties regarding whether the parties’ CBAs required any specific format for dues deduction reports.</w:t>
      </w:r>
      <w:r w:rsidR="008218D7" w:rsidRPr="00737801">
        <w:rPr>
          <w:rStyle w:val="FootnoteReference"/>
        </w:rPr>
        <w:footnoteReference w:id="19"/>
      </w:r>
      <w:r w:rsidR="008218D7" w:rsidRPr="00737801">
        <w:t xml:space="preserve"> </w:t>
      </w:r>
    </w:p>
    <w:p w14:paraId="44B5F00D" w14:textId="4F00C241" w:rsidR="00E9377F" w:rsidRPr="00737801" w:rsidRDefault="00573850" w:rsidP="0068484B">
      <w:pPr>
        <w:pStyle w:val="NoSpacing"/>
        <w:spacing w:after="200"/>
        <w:ind w:firstLine="720"/>
        <w:jc w:val="both"/>
      </w:pPr>
      <w:r w:rsidRPr="00737801">
        <w:t>On May 2, 2022, WASA reported that “approximately five percent of employees required payroll corrections.”</w:t>
      </w:r>
      <w:r w:rsidRPr="00737801">
        <w:rPr>
          <w:rStyle w:val="FootnoteReference"/>
        </w:rPr>
        <w:footnoteReference w:id="20"/>
      </w:r>
      <w:r w:rsidRPr="00737801">
        <w:t xml:space="preserve">  </w:t>
      </w:r>
      <w:r w:rsidR="00D573B9" w:rsidRPr="00737801">
        <w:t>Further,</w:t>
      </w:r>
      <w:r w:rsidR="00F31AF9" w:rsidRPr="00737801">
        <w:t xml:space="preserve"> the dues deduction reports provided by WASA were </w:t>
      </w:r>
      <w:r w:rsidR="00DD0407">
        <w:t>delayed</w:t>
      </w:r>
      <w:r w:rsidR="00F31AF9" w:rsidRPr="00737801">
        <w:t xml:space="preserve"> and </w:t>
      </w:r>
      <w:r w:rsidRPr="00737801">
        <w:t>included employees erroneously identified as not on union dues deduction or placed within the wrong bargaining unit.</w:t>
      </w:r>
      <w:r w:rsidRPr="00737801">
        <w:rPr>
          <w:rStyle w:val="FootnoteReference"/>
        </w:rPr>
        <w:footnoteReference w:id="21"/>
      </w:r>
      <w:r w:rsidRPr="00737801">
        <w:t xml:space="preserve">  </w:t>
      </w:r>
      <w:r w:rsidR="000C43D1" w:rsidRPr="00737801">
        <w:t xml:space="preserve">On May 3, 2022, </w:t>
      </w:r>
      <w:r w:rsidR="00A77A87" w:rsidRPr="00737801">
        <w:t>the Unions</w:t>
      </w:r>
      <w:r w:rsidR="00C138A1">
        <w:t xml:space="preserve"> submitted a</w:t>
      </w:r>
      <w:r w:rsidR="00E9377F" w:rsidRPr="00737801">
        <w:t xml:space="preserve"> fourth request for information </w:t>
      </w:r>
      <w:r w:rsidR="00C138A1">
        <w:t xml:space="preserve">seeking </w:t>
      </w:r>
      <w:r w:rsidR="000C43D1" w:rsidRPr="00737801">
        <w:t>a corrected union dues deduction report, a list of non-dues paying employees</w:t>
      </w:r>
      <w:r w:rsidR="00E9377F" w:rsidRPr="00737801">
        <w:t xml:space="preserve">, and </w:t>
      </w:r>
      <w:r w:rsidR="00DD0407">
        <w:t xml:space="preserve">information on </w:t>
      </w:r>
      <w:r w:rsidR="00E9377F" w:rsidRPr="00737801">
        <w:t>payroll errors</w:t>
      </w:r>
      <w:r w:rsidR="000C43D1" w:rsidRPr="00737801">
        <w:t>.</w:t>
      </w:r>
      <w:r w:rsidR="000C43D1" w:rsidRPr="00737801">
        <w:rPr>
          <w:rStyle w:val="FootnoteReference"/>
        </w:rPr>
        <w:footnoteReference w:id="22"/>
      </w:r>
      <w:r w:rsidRPr="00737801">
        <w:t xml:space="preserve">  </w:t>
      </w:r>
    </w:p>
    <w:p w14:paraId="19D81BB1" w14:textId="74CF6199" w:rsidR="000B57DB" w:rsidRPr="00737801" w:rsidRDefault="00181468" w:rsidP="0068484B">
      <w:pPr>
        <w:pStyle w:val="NoSpacing"/>
        <w:spacing w:after="200"/>
        <w:ind w:firstLine="720"/>
        <w:jc w:val="both"/>
      </w:pPr>
      <w:r w:rsidRPr="00737801">
        <w:t xml:space="preserve">On May 5, 2022, </w:t>
      </w:r>
      <w:r w:rsidR="00E9377F" w:rsidRPr="00737801">
        <w:t>in their final request for information, the Unions sought a demonstration of Oracle.</w:t>
      </w:r>
      <w:r w:rsidRPr="00737801">
        <w:rPr>
          <w:rStyle w:val="FootnoteReference"/>
        </w:rPr>
        <w:footnoteReference w:id="23"/>
      </w:r>
      <w:r w:rsidR="006F4728" w:rsidRPr="00737801">
        <w:t xml:space="preserve">  On May 18, 2022, WASA provided information in response to most of the queries in </w:t>
      </w:r>
      <w:r w:rsidR="006F4728" w:rsidRPr="00737801">
        <w:lastRenderedPageBreak/>
        <w:t xml:space="preserve">the Unions’ </w:t>
      </w:r>
      <w:r w:rsidR="00A77A87" w:rsidRPr="00737801">
        <w:t>request</w:t>
      </w:r>
      <w:r w:rsidR="00E9377F" w:rsidRPr="00737801">
        <w:t xml:space="preserve"> for information</w:t>
      </w:r>
      <w:r w:rsidR="006F4728" w:rsidRPr="00737801">
        <w:t>.</w:t>
      </w:r>
      <w:r w:rsidR="006F4728" w:rsidRPr="00737801">
        <w:rPr>
          <w:rStyle w:val="FootnoteReference"/>
        </w:rPr>
        <w:footnoteReference w:id="24"/>
      </w:r>
      <w:r w:rsidR="006F4728" w:rsidRPr="00737801">
        <w:t xml:space="preserve">  </w:t>
      </w:r>
      <w:r w:rsidR="000B57DB" w:rsidRPr="00737801">
        <w:t xml:space="preserve">On May 31, 2022, </w:t>
      </w:r>
      <w:r w:rsidR="00A77A87" w:rsidRPr="00737801">
        <w:t>the Unions</w:t>
      </w:r>
      <w:r w:rsidR="000B57DB" w:rsidRPr="00737801">
        <w:t xml:space="preserve"> received a redacted union dues deduction report.</w:t>
      </w:r>
      <w:r w:rsidR="000B57DB" w:rsidRPr="00737801">
        <w:rPr>
          <w:rStyle w:val="FootnoteReference"/>
        </w:rPr>
        <w:footnoteReference w:id="25"/>
      </w:r>
    </w:p>
    <w:p w14:paraId="5DDE7EF9" w14:textId="77777777" w:rsidR="00BD7A30" w:rsidRPr="00737801" w:rsidRDefault="00BA6B1D" w:rsidP="00BD7A30">
      <w:pPr>
        <w:pStyle w:val="NoSpacing"/>
        <w:spacing w:after="200"/>
        <w:ind w:firstLine="720"/>
        <w:jc w:val="both"/>
      </w:pPr>
      <w:r w:rsidRPr="00737801">
        <w:t xml:space="preserve">On June 21, 2022, WASA </w:t>
      </w:r>
      <w:r w:rsidR="00BD7A30" w:rsidRPr="00737801">
        <w:t xml:space="preserve">declined to bargain over the implementation of the new payroll system, </w:t>
      </w:r>
      <w:r w:rsidRPr="00737801">
        <w:t>stat</w:t>
      </w:r>
      <w:r w:rsidR="00BD7A30" w:rsidRPr="00737801">
        <w:t>ing</w:t>
      </w:r>
      <w:r w:rsidRPr="00737801">
        <w:t xml:space="preserve"> that the changes </w:t>
      </w:r>
      <w:r w:rsidR="00BD7A30" w:rsidRPr="00737801">
        <w:t>did not</w:t>
      </w:r>
      <w:r w:rsidR="007F4F26" w:rsidRPr="00737801">
        <w:t xml:space="preserve"> </w:t>
      </w:r>
      <w:r w:rsidRPr="00737801">
        <w:t>impact</w:t>
      </w:r>
      <w:r w:rsidR="007F4F26" w:rsidRPr="00737801">
        <w:t xml:space="preserve"> </w:t>
      </w:r>
      <w:r w:rsidR="00BD7A30" w:rsidRPr="00737801">
        <w:t>terms and conditions of employment</w:t>
      </w:r>
      <w:r w:rsidRPr="00737801">
        <w:t>.</w:t>
      </w:r>
      <w:r w:rsidR="00061E3D" w:rsidRPr="00737801">
        <w:rPr>
          <w:rStyle w:val="FootnoteReference"/>
        </w:rPr>
        <w:footnoteReference w:id="26"/>
      </w:r>
      <w:r w:rsidR="0071634A" w:rsidRPr="00737801">
        <w:t xml:space="preserve">  </w:t>
      </w:r>
    </w:p>
    <w:p w14:paraId="1CA08736" w14:textId="4DD701C2" w:rsidR="003C6FB0" w:rsidRPr="00737801" w:rsidRDefault="003C6FB0" w:rsidP="00BD7A30">
      <w:pPr>
        <w:pStyle w:val="NoSpacing"/>
        <w:numPr>
          <w:ilvl w:val="0"/>
          <w:numId w:val="5"/>
        </w:numPr>
        <w:spacing w:after="200"/>
        <w:jc w:val="both"/>
        <w:rPr>
          <w:b/>
          <w:bCs/>
        </w:rPr>
      </w:pPr>
      <w:r w:rsidRPr="00737801">
        <w:rPr>
          <w:b/>
          <w:bCs/>
        </w:rPr>
        <w:t>Issues</w:t>
      </w:r>
      <w:r w:rsidR="004862BA" w:rsidRPr="00737801">
        <w:rPr>
          <w:b/>
          <w:bCs/>
        </w:rPr>
        <w:t xml:space="preserve"> and Recommendations</w:t>
      </w:r>
    </w:p>
    <w:p w14:paraId="4DDFC62F" w14:textId="6E175E85" w:rsidR="004862BA" w:rsidRPr="00737801" w:rsidRDefault="004862BA" w:rsidP="00E87A80">
      <w:pPr>
        <w:pStyle w:val="NoSpacing"/>
        <w:spacing w:after="200"/>
        <w:ind w:firstLine="720"/>
        <w:jc w:val="both"/>
      </w:pPr>
      <w:r w:rsidRPr="00737801">
        <w:t>The Hearing Examiner synthesized the parties’ arguments into two issues</w:t>
      </w:r>
      <w:r w:rsidR="00BD7A30" w:rsidRPr="00737801">
        <w:t>: (1)</w:t>
      </w:r>
      <w:r w:rsidRPr="00737801">
        <w:t xml:space="preserve"> whether WASA complied with its dut</w:t>
      </w:r>
      <w:r w:rsidR="00BC0C7F" w:rsidRPr="00737801">
        <w:t>y to bargain</w:t>
      </w:r>
      <w:r w:rsidRPr="00737801">
        <w:t xml:space="preserve"> under the CMPA when it implemented the Oracle payroll system</w:t>
      </w:r>
      <w:r w:rsidR="00BC0C7F" w:rsidRPr="00737801">
        <w:t>; and (2)</w:t>
      </w:r>
      <w:r w:rsidRPr="00737801">
        <w:t xml:space="preserve"> </w:t>
      </w:r>
      <w:r w:rsidR="00BC0C7F" w:rsidRPr="00737801">
        <w:t>whether WASA violated the CMPA in its responses to the Unions’ requests for information.</w:t>
      </w:r>
      <w:r w:rsidR="00E87A80" w:rsidRPr="00737801">
        <w:rPr>
          <w:rStyle w:val="FootnoteReference"/>
        </w:rPr>
        <w:footnoteReference w:id="27"/>
      </w:r>
    </w:p>
    <w:p w14:paraId="19AF5326" w14:textId="2E3E20BC" w:rsidR="003C6FB0" w:rsidRPr="00737801" w:rsidRDefault="003C6FB0" w:rsidP="00E87A80">
      <w:pPr>
        <w:pStyle w:val="NoSpacing"/>
        <w:numPr>
          <w:ilvl w:val="1"/>
          <w:numId w:val="5"/>
        </w:numPr>
        <w:spacing w:after="200"/>
        <w:ind w:left="1800"/>
        <w:jc w:val="both"/>
      </w:pPr>
      <w:r w:rsidRPr="00737801">
        <w:rPr>
          <w:b/>
          <w:bCs/>
        </w:rPr>
        <w:t>Duty to Bargain</w:t>
      </w:r>
    </w:p>
    <w:p w14:paraId="1431BAFF" w14:textId="02F6074F" w:rsidR="000539E0" w:rsidRPr="00737801" w:rsidRDefault="005C5185" w:rsidP="004862BA">
      <w:pPr>
        <w:pStyle w:val="NoSpacing"/>
        <w:spacing w:after="200"/>
        <w:ind w:firstLine="720"/>
        <w:jc w:val="both"/>
      </w:pPr>
      <w:r w:rsidRPr="00737801">
        <w:t xml:space="preserve">The </w:t>
      </w:r>
      <w:r w:rsidR="000863A8" w:rsidRPr="00737801">
        <w:t xml:space="preserve">first issue presented to the Hearing Examiner </w:t>
      </w:r>
      <w:r w:rsidR="00F16188" w:rsidRPr="00737801">
        <w:t>was</w:t>
      </w:r>
      <w:r w:rsidR="000863A8" w:rsidRPr="00737801">
        <w:t xml:space="preserve"> whether WASA had an obligation to</w:t>
      </w:r>
      <w:r w:rsidR="00BC0C7F" w:rsidRPr="00737801">
        <w:t xml:space="preserve"> </w:t>
      </w:r>
      <w:r w:rsidR="003162D9" w:rsidRPr="00737801">
        <w:t>bargain impact and effects</w:t>
      </w:r>
      <w:r w:rsidR="00BC0C7F" w:rsidRPr="00737801">
        <w:t xml:space="preserve"> before launching the new payroll system</w:t>
      </w:r>
      <w:r w:rsidR="00B5147B" w:rsidRPr="00737801">
        <w:t xml:space="preserve">.  </w:t>
      </w:r>
      <w:r w:rsidR="006A0BE2">
        <w:t>The Hearing Examiner also analyzed whether changes in WASA’s production of union dues deduction reports rose to the level of a unilateral alteration to past practices not controlled by the parties’ CBAs.</w:t>
      </w:r>
      <w:r w:rsidR="006A0BE2">
        <w:rPr>
          <w:rStyle w:val="FootnoteReference"/>
        </w:rPr>
        <w:footnoteReference w:id="28"/>
      </w:r>
    </w:p>
    <w:p w14:paraId="3A111089" w14:textId="3E0D1DFC" w:rsidR="009F4923" w:rsidRPr="00737801" w:rsidRDefault="00BF29C9" w:rsidP="00E87A80">
      <w:pPr>
        <w:pStyle w:val="NoSpacing"/>
        <w:spacing w:after="200"/>
        <w:ind w:firstLine="720"/>
        <w:jc w:val="both"/>
      </w:pPr>
      <w:r w:rsidRPr="00737801">
        <w:t xml:space="preserve">The Hearing Examiner concluded that WASA </w:t>
      </w:r>
      <w:r w:rsidR="000C151C" w:rsidRPr="00737801">
        <w:t>exercised its management</w:t>
      </w:r>
      <w:r w:rsidR="007A5A18" w:rsidRPr="00737801">
        <w:t xml:space="preserve"> right to determine </w:t>
      </w:r>
      <w:r w:rsidR="00F16188" w:rsidRPr="00737801">
        <w:t>its technology</w:t>
      </w:r>
      <w:r w:rsidR="007A5A18" w:rsidRPr="00737801">
        <w:t xml:space="preserve"> </w:t>
      </w:r>
      <w:r w:rsidR="000C151C" w:rsidRPr="00737801">
        <w:t>and</w:t>
      </w:r>
      <w:r w:rsidR="00F16188" w:rsidRPr="00737801">
        <w:t>, accordingly, to implement</w:t>
      </w:r>
      <w:r w:rsidRPr="00737801">
        <w:t xml:space="preserve"> the Oracle payroll system under D.C. Official Code § 1-617.08(a)(5)</w:t>
      </w:r>
      <w:r w:rsidR="000C151C" w:rsidRPr="00737801">
        <w:t>.</w:t>
      </w:r>
      <w:r w:rsidR="00691A84" w:rsidRPr="00737801">
        <w:rPr>
          <w:rStyle w:val="FootnoteReference"/>
        </w:rPr>
        <w:footnoteReference w:id="29"/>
      </w:r>
      <w:r w:rsidR="007E4DF9" w:rsidRPr="00737801">
        <w:t xml:space="preserve">  </w:t>
      </w:r>
      <w:r w:rsidR="000C151C" w:rsidRPr="00737801">
        <w:t>A</w:t>
      </w:r>
      <w:r w:rsidR="00F37A26" w:rsidRPr="00737801">
        <w:t xml:space="preserve">s such, WASA had no duty to bargain substantively over </w:t>
      </w:r>
      <w:r w:rsidR="000C151C" w:rsidRPr="00737801">
        <w:t>its</w:t>
      </w:r>
      <w:r w:rsidR="00F37A26" w:rsidRPr="00737801">
        <w:t xml:space="preserve"> decision.</w:t>
      </w:r>
      <w:r w:rsidRPr="00737801">
        <w:rPr>
          <w:rStyle w:val="FootnoteReference"/>
        </w:rPr>
        <w:footnoteReference w:id="30"/>
      </w:r>
      <w:r w:rsidRPr="00737801">
        <w:t xml:space="preserve">  </w:t>
      </w:r>
      <w:r w:rsidR="00F37A26" w:rsidRPr="00737801">
        <w:t>However, t</w:t>
      </w:r>
      <w:r w:rsidR="00CA3525" w:rsidRPr="00737801">
        <w:t xml:space="preserve">he Hearing Examiner determined that the </w:t>
      </w:r>
      <w:r w:rsidR="000C151C" w:rsidRPr="00737801">
        <w:t xml:space="preserve">exercise of </w:t>
      </w:r>
      <w:r w:rsidR="003135B8">
        <w:t xml:space="preserve">the </w:t>
      </w:r>
      <w:r w:rsidR="00CA3525" w:rsidRPr="00737801">
        <w:t>CMPA’s management rights does not remove an agency’s obligation to bargain</w:t>
      </w:r>
      <w:r w:rsidR="00EA3F60" w:rsidRPr="00737801">
        <w:t>, upon request,</w:t>
      </w:r>
      <w:r w:rsidR="00CA3525" w:rsidRPr="00737801">
        <w:t xml:space="preserve"> over the impact, effects and procedures concerning the implementation of </w:t>
      </w:r>
      <w:r w:rsidR="00E969D9" w:rsidRPr="00737801">
        <w:t xml:space="preserve">such </w:t>
      </w:r>
      <w:r w:rsidR="000C151C" w:rsidRPr="00737801">
        <w:t>decisions</w:t>
      </w:r>
      <w:r w:rsidR="00E969D9" w:rsidRPr="00737801">
        <w:t>.</w:t>
      </w:r>
      <w:r w:rsidR="00435AFB" w:rsidRPr="00737801">
        <w:rPr>
          <w:rStyle w:val="FootnoteReference"/>
        </w:rPr>
        <w:footnoteReference w:id="31"/>
      </w:r>
      <w:r w:rsidR="00E969D9" w:rsidRPr="00737801">
        <w:t xml:space="preserve">  </w:t>
      </w:r>
      <w:r w:rsidR="00EA3F60" w:rsidRPr="00737801">
        <w:t xml:space="preserve">The Hearing Examiner further concluded that the record clearly showed that the Unions made several </w:t>
      </w:r>
      <w:r w:rsidR="00B717B3" w:rsidRPr="00737801">
        <w:t xml:space="preserve">timely </w:t>
      </w:r>
      <w:r w:rsidR="00EA3F60" w:rsidRPr="00737801">
        <w:t>requests to bargain over the impact and effects of the implementation of Oracle prior to and throughout WASA’s implementation of the new system.</w:t>
      </w:r>
      <w:r w:rsidR="00EA3F60" w:rsidRPr="00737801">
        <w:rPr>
          <w:rStyle w:val="FootnoteReference"/>
        </w:rPr>
        <w:footnoteReference w:id="32"/>
      </w:r>
      <w:r w:rsidR="00EA3F60" w:rsidRPr="00737801">
        <w:t xml:space="preserve">  </w:t>
      </w:r>
      <w:r w:rsidR="00D762E3" w:rsidRPr="00737801">
        <w:t xml:space="preserve">The Hearing Examiner analyzed both PERB and Federal Labor Relations Authority case law and concluded that both require employers to bargain “the effect of the development or implementation of technology and appropriate arrangements for </w:t>
      </w:r>
      <w:r w:rsidR="00D762E3" w:rsidRPr="00737801">
        <w:lastRenderedPageBreak/>
        <w:t>bargaining unit employees</w:t>
      </w:r>
      <w:r w:rsidR="00B94C82" w:rsidRPr="00737801">
        <w:t>.</w:t>
      </w:r>
      <w:r w:rsidR="00D762E3" w:rsidRPr="00737801">
        <w:t>”</w:t>
      </w:r>
      <w:r w:rsidR="00D762E3" w:rsidRPr="00737801">
        <w:rPr>
          <w:rStyle w:val="FootnoteReference"/>
        </w:rPr>
        <w:footnoteReference w:id="33"/>
      </w:r>
      <w:r w:rsidR="00D762E3" w:rsidRPr="00737801">
        <w:t xml:space="preserve">  </w:t>
      </w:r>
      <w:r w:rsidR="00457F62" w:rsidRPr="00737801">
        <w:t xml:space="preserve">The Hearing Examiner </w:t>
      </w:r>
      <w:r w:rsidR="00F16188" w:rsidRPr="00737801">
        <w:t>found</w:t>
      </w:r>
      <w:r w:rsidR="00457F62" w:rsidRPr="00737801">
        <w:t xml:space="preserve"> that</w:t>
      </w:r>
      <w:r w:rsidR="00F16188" w:rsidRPr="00737801">
        <w:t xml:space="preserve"> WASA had a duty to negotiate prior to implementation </w:t>
      </w:r>
      <w:r w:rsidR="00457F62" w:rsidRPr="00737801">
        <w:t>once the Unions made timely requests to</w:t>
      </w:r>
      <w:r w:rsidR="00F16188" w:rsidRPr="00737801">
        <w:t xml:space="preserve"> bargain</w:t>
      </w:r>
      <w:r w:rsidR="00457F62" w:rsidRPr="00737801">
        <w:t>.</w:t>
      </w:r>
      <w:r w:rsidR="00457F62" w:rsidRPr="00737801">
        <w:rPr>
          <w:rStyle w:val="FootnoteReference"/>
        </w:rPr>
        <w:footnoteReference w:id="34"/>
      </w:r>
      <w:r w:rsidR="00457F62" w:rsidRPr="00737801">
        <w:t xml:space="preserve">  </w:t>
      </w:r>
    </w:p>
    <w:p w14:paraId="2AB2762C" w14:textId="26315CFF" w:rsidR="001E7899" w:rsidRDefault="004864D3" w:rsidP="001E7899">
      <w:pPr>
        <w:pStyle w:val="NoSpacing"/>
        <w:spacing w:after="200"/>
        <w:ind w:firstLine="720"/>
        <w:jc w:val="both"/>
      </w:pPr>
      <w:r w:rsidRPr="00737801">
        <w:t xml:space="preserve">The Hearing Examiner </w:t>
      </w:r>
      <w:r w:rsidR="00822293">
        <w:t>found that WASA was not obligated to bargain substantively over the decision to implement the Oracle payroll system.</w:t>
      </w:r>
      <w:r w:rsidR="00822293">
        <w:rPr>
          <w:rStyle w:val="FootnoteReference"/>
        </w:rPr>
        <w:footnoteReference w:id="35"/>
      </w:r>
      <w:r w:rsidR="00822293">
        <w:t xml:space="preserve">  However, t</w:t>
      </w:r>
      <w:r w:rsidR="00822293" w:rsidRPr="00737801">
        <w:t>he Hearing Examiner reasoned that, under circumstances such as in this case, an agency commits an unfair labor practice by rejecting a timely request for negotiations over the impact and implementation of a management right.</w:t>
      </w:r>
      <w:r w:rsidR="00822293" w:rsidRPr="00737801">
        <w:rPr>
          <w:rStyle w:val="FootnoteReference"/>
        </w:rPr>
        <w:footnoteReference w:id="36"/>
      </w:r>
      <w:r w:rsidR="00822293">
        <w:t xml:space="preserve">  The Hearing Examiner </w:t>
      </w:r>
      <w:r w:rsidR="001E7899">
        <w:t>concluded that WASA violated the CMPA by refusing to bargain over the impact, effects, and procedures of implementation of the Oracle payroll system.</w:t>
      </w:r>
      <w:r w:rsidR="001E7899">
        <w:rPr>
          <w:rStyle w:val="FootnoteReference"/>
        </w:rPr>
        <w:footnoteReference w:id="37"/>
      </w:r>
      <w:r w:rsidR="001E7899">
        <w:t xml:space="preserve">  </w:t>
      </w:r>
      <w:r w:rsidR="001E7899" w:rsidRPr="00737801">
        <w:t xml:space="preserve">The Hearing Examiner determined that PERB case law </w:t>
      </w:r>
      <w:r w:rsidR="001E7899">
        <w:t xml:space="preserve">surrounding non-bargainable management rights </w:t>
      </w:r>
      <w:r w:rsidR="001E7899" w:rsidRPr="00737801">
        <w:t>does not relieve agencies from the duty to bargain</w:t>
      </w:r>
      <w:r w:rsidR="0079396C">
        <w:t xml:space="preserve"> </w:t>
      </w:r>
      <w:r w:rsidR="00BD0875">
        <w:t xml:space="preserve">over </w:t>
      </w:r>
      <w:r w:rsidR="0079396C">
        <w:t>impacts and effects of the implementation of a management right decision</w:t>
      </w:r>
      <w:r w:rsidR="001E7899">
        <w:t>.</w:t>
      </w:r>
      <w:r w:rsidR="001E7899" w:rsidRPr="00737801">
        <w:rPr>
          <w:rStyle w:val="FootnoteReference"/>
        </w:rPr>
        <w:footnoteReference w:id="38"/>
      </w:r>
      <w:r w:rsidR="001E7899" w:rsidRPr="00737801">
        <w:t xml:space="preserve">  </w:t>
      </w:r>
      <w:r w:rsidR="001E7899">
        <w:t xml:space="preserve">The Hearing Examiner considered WASA’s </w:t>
      </w:r>
      <w:r w:rsidR="001E7899">
        <w:rPr>
          <w:i/>
          <w:iCs/>
        </w:rPr>
        <w:t>de minimis</w:t>
      </w:r>
      <w:r w:rsidR="001E7899">
        <w:t xml:space="preserve"> argument </w:t>
      </w:r>
      <w:r w:rsidR="00BD0875">
        <w:t xml:space="preserve">with respect to impact bargaining </w:t>
      </w:r>
      <w:r w:rsidR="001E7899">
        <w:t>and rejected it as unsupported by Board precedent, which does not consider whether or not unilateral changes are “significant” in analyzing the duty to bargain over impact and effects.</w:t>
      </w:r>
      <w:r w:rsidR="001E7899">
        <w:rPr>
          <w:rStyle w:val="FootnoteReference"/>
        </w:rPr>
        <w:footnoteReference w:id="39"/>
      </w:r>
      <w:r w:rsidR="001E7899">
        <w:t xml:space="preserve"> </w:t>
      </w:r>
    </w:p>
    <w:p w14:paraId="582EBC1A" w14:textId="1CDF45E2" w:rsidR="005F0DE8" w:rsidRPr="00737801" w:rsidRDefault="001E7899" w:rsidP="00E87A80">
      <w:pPr>
        <w:pStyle w:val="NoSpacing"/>
        <w:spacing w:after="200"/>
        <w:ind w:firstLine="720"/>
        <w:jc w:val="both"/>
      </w:pPr>
      <w:r>
        <w:t xml:space="preserve">The Hearing Examiner </w:t>
      </w:r>
      <w:r w:rsidR="00822293">
        <w:t>f</w:t>
      </w:r>
      <w:r w:rsidR="0034708E">
        <w:t>ound</w:t>
      </w:r>
      <w:r w:rsidR="004864D3" w:rsidRPr="00737801">
        <w:t xml:space="preserve"> that WASA’s implementation of Oracle </w:t>
      </w:r>
      <w:r w:rsidR="0034708E">
        <w:t>resulted in</w:t>
      </w:r>
      <w:r w:rsidR="00FF660F" w:rsidRPr="00737801">
        <w:t xml:space="preserve"> unilateral change</w:t>
      </w:r>
      <w:r w:rsidR="004505A3" w:rsidRPr="00737801">
        <w:t>s</w:t>
      </w:r>
      <w:r w:rsidR="00FF660F" w:rsidRPr="00737801">
        <w:t xml:space="preserve"> to </w:t>
      </w:r>
      <w:r w:rsidR="0034708E">
        <w:t xml:space="preserve">the parties’ </w:t>
      </w:r>
      <w:r w:rsidR="00FF660F" w:rsidRPr="00737801">
        <w:t>established past practices</w:t>
      </w:r>
      <w:r w:rsidR="00E404FF" w:rsidRPr="00737801">
        <w:t xml:space="preserve"> in generating dues deduction reports</w:t>
      </w:r>
      <w:r w:rsidR="00FF660F" w:rsidRPr="00737801">
        <w:t>.</w:t>
      </w:r>
      <w:r w:rsidR="00FF660F" w:rsidRPr="00737801">
        <w:rPr>
          <w:rStyle w:val="FootnoteReference"/>
        </w:rPr>
        <w:footnoteReference w:id="40"/>
      </w:r>
      <w:r w:rsidR="00FF660F" w:rsidRPr="00737801">
        <w:t xml:space="preserve">  </w:t>
      </w:r>
      <w:r w:rsidR="00F63E23" w:rsidRPr="00737801">
        <w:t xml:space="preserve"> </w:t>
      </w:r>
      <w:r w:rsidR="004E4F2B" w:rsidRPr="00737801">
        <w:t xml:space="preserve"> </w:t>
      </w:r>
      <w:r w:rsidR="0034708E" w:rsidRPr="00737801">
        <w:t xml:space="preserve">The Hearing Examiner </w:t>
      </w:r>
      <w:r w:rsidR="0034708E">
        <w:t>determined</w:t>
      </w:r>
      <w:r w:rsidR="0034708E" w:rsidRPr="00737801">
        <w:t xml:space="preserve"> that the record reflected changes to these reports “in conjunction with implementation of Oracle” over which the Unions were entitled to bargain.</w:t>
      </w:r>
      <w:r w:rsidR="0034708E" w:rsidRPr="00737801">
        <w:rPr>
          <w:rStyle w:val="FootnoteReference"/>
        </w:rPr>
        <w:footnoteReference w:id="41"/>
      </w:r>
      <w:r w:rsidR="0034708E">
        <w:t xml:space="preserve">  </w:t>
      </w:r>
      <w:r w:rsidR="004E4F2B" w:rsidRPr="00737801">
        <w:t xml:space="preserve">The Hearing Examiner </w:t>
      </w:r>
      <w:r w:rsidR="00A30555" w:rsidRPr="00737801">
        <w:t>noted</w:t>
      </w:r>
      <w:r w:rsidR="00C511E0" w:rsidRPr="00737801">
        <w:t xml:space="preserve"> that, pursuant to</w:t>
      </w:r>
      <w:r w:rsidR="004E4F2B" w:rsidRPr="00737801">
        <w:t xml:space="preserve"> </w:t>
      </w:r>
      <w:r w:rsidR="004505A3" w:rsidRPr="00737801">
        <w:t>D.C. Official Code §</w:t>
      </w:r>
      <w:r w:rsidR="004E4F2B" w:rsidRPr="00737801">
        <w:t xml:space="preserve"> 1-617.07</w:t>
      </w:r>
      <w:r w:rsidR="00C511E0" w:rsidRPr="00737801">
        <w:t>,</w:t>
      </w:r>
      <w:r w:rsidR="004E4F2B" w:rsidRPr="00737801">
        <w:t xml:space="preserve"> </w:t>
      </w:r>
      <w:r w:rsidR="00C511E0" w:rsidRPr="00737801">
        <w:t>“</w:t>
      </w:r>
      <w:r w:rsidR="004E4F2B" w:rsidRPr="00737801">
        <w:t>dues deduction procedures shall be the proper subjects of collective bargaining</w:t>
      </w:r>
      <w:r w:rsidR="0034708E">
        <w:t>,</w:t>
      </w:r>
      <w:r w:rsidR="004E4F2B" w:rsidRPr="00737801">
        <w:t>”</w:t>
      </w:r>
      <w:r w:rsidR="00C511E0" w:rsidRPr="00737801">
        <w:rPr>
          <w:rStyle w:val="FootnoteReference"/>
        </w:rPr>
        <w:footnoteReference w:id="42"/>
      </w:r>
      <w:r w:rsidR="004E4F2B" w:rsidRPr="00737801">
        <w:t xml:space="preserve"> </w:t>
      </w:r>
      <w:r w:rsidR="00C511E0" w:rsidRPr="00737801">
        <w:t xml:space="preserve"> </w:t>
      </w:r>
      <w:r w:rsidR="0034708E">
        <w:t>and that unilaterally changing an “established and bargainable terms and conditions of employment constitutes an unfair labor practice, unless such terms and conditions are specifically covered by the parties’ collective bargaining agreement.”</w:t>
      </w:r>
      <w:r w:rsidR="0034708E">
        <w:rPr>
          <w:rStyle w:val="FootnoteReference"/>
        </w:rPr>
        <w:footnoteReference w:id="43"/>
      </w:r>
      <w:r w:rsidR="0034708E">
        <w:t xml:space="preserve">  </w:t>
      </w:r>
      <w:r w:rsidR="00EE2DE9">
        <w:t xml:space="preserve">Because the parties effectively agreed that their CBAs do not establish specific </w:t>
      </w:r>
      <w:r w:rsidR="00EE2DE9">
        <w:lastRenderedPageBreak/>
        <w:t>methods for producing dues deduction reports, the Hearing Examiner concluded that WASA committed an unfair labor practice in making unilateral changes to the production of such reports prior to bargaining over such changes with the Unions.</w:t>
      </w:r>
      <w:r w:rsidR="00EE2DE9">
        <w:rPr>
          <w:rStyle w:val="FootnoteReference"/>
        </w:rPr>
        <w:footnoteReference w:id="44"/>
      </w:r>
    </w:p>
    <w:p w14:paraId="122992BD" w14:textId="78FC7EDB" w:rsidR="00CD0956" w:rsidRPr="00737801" w:rsidRDefault="003C6FB0" w:rsidP="00215BD9">
      <w:pPr>
        <w:pStyle w:val="NoSpacing"/>
        <w:numPr>
          <w:ilvl w:val="1"/>
          <w:numId w:val="5"/>
        </w:numPr>
        <w:spacing w:after="200"/>
        <w:jc w:val="both"/>
        <w:rPr>
          <w:b/>
          <w:bCs/>
        </w:rPr>
      </w:pPr>
      <w:r w:rsidRPr="00737801">
        <w:rPr>
          <w:b/>
          <w:bCs/>
        </w:rPr>
        <w:t>Requests for Informatio</w:t>
      </w:r>
      <w:r w:rsidR="00215BD9" w:rsidRPr="00737801">
        <w:rPr>
          <w:b/>
          <w:bCs/>
        </w:rPr>
        <w:t>n</w:t>
      </w:r>
    </w:p>
    <w:p w14:paraId="7380EECC" w14:textId="06F64F54" w:rsidR="000539E0" w:rsidRPr="00737801" w:rsidRDefault="00684A5C" w:rsidP="004862BA">
      <w:pPr>
        <w:pStyle w:val="NoSpacing"/>
        <w:spacing w:after="200"/>
        <w:ind w:firstLine="720"/>
        <w:jc w:val="both"/>
      </w:pPr>
      <w:r w:rsidRPr="00737801">
        <w:t xml:space="preserve">The second issue presented to the Hearing Examiner addressed WASA’s responsiveness to the Unions’ </w:t>
      </w:r>
      <w:r w:rsidR="0098250C" w:rsidRPr="00737801">
        <w:t>requests for information</w:t>
      </w:r>
      <w:r w:rsidRPr="00737801">
        <w:t xml:space="preserve">.  </w:t>
      </w:r>
      <w:r w:rsidR="00AD3999" w:rsidRPr="00737801">
        <w:t xml:space="preserve">The Hearing Examiner concluded that WASA responded to </w:t>
      </w:r>
      <w:proofErr w:type="gramStart"/>
      <w:r w:rsidR="00AD3999" w:rsidRPr="00737801">
        <w:t>all of</w:t>
      </w:r>
      <w:proofErr w:type="gramEnd"/>
      <w:r w:rsidR="00AD3999" w:rsidRPr="00737801">
        <w:t xml:space="preserve"> the Unions’ </w:t>
      </w:r>
      <w:r w:rsidR="0098250C" w:rsidRPr="00737801">
        <w:t>request</w:t>
      </w:r>
      <w:r w:rsidR="00AD3999" w:rsidRPr="00737801">
        <w:t>s except for the request for a demonstration of how supervisors process time and attendance in Oracle.</w:t>
      </w:r>
      <w:r w:rsidR="00AD3999" w:rsidRPr="00737801">
        <w:rPr>
          <w:rStyle w:val="FootnoteReference"/>
        </w:rPr>
        <w:footnoteReference w:id="45"/>
      </w:r>
      <w:r w:rsidR="00AD3999" w:rsidRPr="00737801">
        <w:t xml:space="preserve">  </w:t>
      </w:r>
      <w:r w:rsidR="00905196" w:rsidRPr="00737801">
        <w:t>The Unions argued that confidentiality is an insufficient defense against the failure to produce relevant and necessary information at a union’s request.</w:t>
      </w:r>
      <w:r w:rsidR="00905196" w:rsidRPr="00737801">
        <w:rPr>
          <w:rStyle w:val="FootnoteReference"/>
        </w:rPr>
        <w:footnoteReference w:id="46"/>
      </w:r>
      <w:r w:rsidR="00905196" w:rsidRPr="00737801">
        <w:t xml:space="preserve">  WASA argued that the request for a demonstration asked for privileged and confidential management information.</w:t>
      </w:r>
      <w:r w:rsidR="00905196" w:rsidRPr="00737801">
        <w:rPr>
          <w:rStyle w:val="FootnoteReference"/>
        </w:rPr>
        <w:footnoteReference w:id="47"/>
      </w:r>
      <w:r w:rsidR="00905196" w:rsidRPr="00737801">
        <w:t xml:space="preserve">  </w:t>
      </w:r>
    </w:p>
    <w:p w14:paraId="08D67E08" w14:textId="0BEC5046" w:rsidR="003A6A1A" w:rsidRPr="00737801" w:rsidRDefault="00F22728" w:rsidP="00215BD9">
      <w:pPr>
        <w:pStyle w:val="NoSpacing"/>
        <w:spacing w:after="200"/>
        <w:ind w:firstLine="720"/>
        <w:jc w:val="both"/>
      </w:pPr>
      <w:r w:rsidRPr="00737801">
        <w:t xml:space="preserve">The Hearing Examiner determined that WASA properly responded to the Unions’ </w:t>
      </w:r>
      <w:r w:rsidR="0098250C" w:rsidRPr="00737801">
        <w:t>request</w:t>
      </w:r>
      <w:r w:rsidRPr="00737801">
        <w:t>s</w:t>
      </w:r>
      <w:r w:rsidR="0098250C" w:rsidRPr="00737801">
        <w:t xml:space="preserve"> for information</w:t>
      </w:r>
      <w:r w:rsidRPr="00737801">
        <w:t>.</w:t>
      </w:r>
      <w:r w:rsidRPr="00737801">
        <w:rPr>
          <w:rStyle w:val="FootnoteReference"/>
        </w:rPr>
        <w:footnoteReference w:id="48"/>
      </w:r>
      <w:r w:rsidR="00EA5ECF" w:rsidRPr="00737801">
        <w:t xml:space="preserve">  </w:t>
      </w:r>
      <w:r w:rsidR="00441759" w:rsidRPr="00737801">
        <w:t>H</w:t>
      </w:r>
      <w:r w:rsidR="00C95A6F" w:rsidRPr="00737801">
        <w:t xml:space="preserve">e concluded that WASA provided information in response to all </w:t>
      </w:r>
      <w:r w:rsidR="00441759" w:rsidRPr="00737801">
        <w:t>except for the Unions’ request for a demonstration of the time and attendance process</w:t>
      </w:r>
      <w:r w:rsidR="005D7D31" w:rsidRPr="00737801">
        <w:t>.</w:t>
      </w:r>
      <w:r w:rsidR="005D7D31" w:rsidRPr="00737801">
        <w:rPr>
          <w:rStyle w:val="FootnoteReference"/>
        </w:rPr>
        <w:footnoteReference w:id="49"/>
      </w:r>
      <w:r w:rsidR="00FC3365" w:rsidRPr="00737801">
        <w:t xml:space="preserve">  </w:t>
      </w:r>
      <w:r w:rsidR="00627042" w:rsidRPr="00737801">
        <w:t xml:space="preserve">The Hearing Examiner found that: (1) the Unions did not establish a particularized need for the requested demonstration; (2) WASA established a countervailing </w:t>
      </w:r>
      <w:r w:rsidR="00441759" w:rsidRPr="00737801">
        <w:t>privilege and confidential interest</w:t>
      </w:r>
      <w:r w:rsidR="00356C63" w:rsidRPr="00737801">
        <w:t xml:space="preserve"> preventing it from providing the demonstration; and (3) that the requested demonstration did not constitute “information” within the CMPA’s definition for the purpose of </w:t>
      </w:r>
      <w:r w:rsidR="00441759" w:rsidRPr="00737801">
        <w:t>information requests</w:t>
      </w:r>
      <w:r w:rsidR="00356C63" w:rsidRPr="00737801">
        <w:t>.</w:t>
      </w:r>
      <w:r w:rsidR="00356C63" w:rsidRPr="00737801">
        <w:rPr>
          <w:rStyle w:val="FootnoteReference"/>
        </w:rPr>
        <w:footnoteReference w:id="50"/>
      </w:r>
    </w:p>
    <w:p w14:paraId="6DD431BA" w14:textId="6D85D45C" w:rsidR="003E3F5C" w:rsidRPr="00737801" w:rsidRDefault="00A5372F" w:rsidP="006C481B">
      <w:pPr>
        <w:pStyle w:val="NoSpacing"/>
        <w:numPr>
          <w:ilvl w:val="0"/>
          <w:numId w:val="1"/>
        </w:numPr>
        <w:spacing w:after="200"/>
        <w:ind w:left="720"/>
        <w:jc w:val="both"/>
      </w:pPr>
      <w:r w:rsidRPr="00737801">
        <w:rPr>
          <w:b/>
          <w:bCs/>
        </w:rPr>
        <w:t>Discussion</w:t>
      </w:r>
    </w:p>
    <w:p w14:paraId="76511A88" w14:textId="53DF928B" w:rsidR="00A81B93" w:rsidRPr="00737801" w:rsidRDefault="002F565D" w:rsidP="006C481B">
      <w:pPr>
        <w:pStyle w:val="NoSpacing"/>
        <w:spacing w:after="200"/>
        <w:ind w:firstLine="720"/>
        <w:jc w:val="both"/>
      </w:pPr>
      <w:r w:rsidRPr="00737801">
        <w:t>This dispute arises from the Unions’ (1) requests to bargain over the impact and effects of the implementation of the Oracle payroll system; and (2) requests for information and demonstrations of Oracle.</w:t>
      </w:r>
    </w:p>
    <w:p w14:paraId="16202C8C" w14:textId="75FDE04F" w:rsidR="003E5EE1" w:rsidRDefault="00A81B93" w:rsidP="006C481B">
      <w:pPr>
        <w:pStyle w:val="NoSpacing"/>
        <w:spacing w:after="200"/>
        <w:ind w:firstLine="720"/>
        <w:jc w:val="both"/>
      </w:pPr>
      <w:r w:rsidRPr="00737801">
        <w:t>WASA argues in its Exceptions</w:t>
      </w:r>
      <w:r w:rsidR="0058410C" w:rsidRPr="00737801">
        <w:t xml:space="preserve"> that the Hearing Examiner erred in concluding: (1) that WASA violated the CMPA by failing to engage in impact and effects bargaining; (2) that the impacts of the implementation of Oracle were </w:t>
      </w:r>
      <w:r w:rsidR="00CC57B0">
        <w:t>not</w:t>
      </w:r>
      <w:r w:rsidR="0058410C" w:rsidRPr="00737801">
        <w:t xml:space="preserve"> more than </w:t>
      </w:r>
      <w:r w:rsidR="0058410C" w:rsidRPr="00737801">
        <w:rPr>
          <w:i/>
          <w:iCs/>
        </w:rPr>
        <w:t>de minimis</w:t>
      </w:r>
      <w:r w:rsidR="0058410C" w:rsidRPr="00737801">
        <w:t xml:space="preserve">; (3) that WASA failed to bargain with the Unions; </w:t>
      </w:r>
      <w:r w:rsidR="00721023" w:rsidRPr="00737801">
        <w:t xml:space="preserve">and </w:t>
      </w:r>
      <w:r w:rsidR="0058410C" w:rsidRPr="00737801">
        <w:t>(4) that WASA made unilateral changes to the parties’ dues deduction reports</w:t>
      </w:r>
      <w:r w:rsidR="00721023" w:rsidRPr="00737801">
        <w:t>.</w:t>
      </w:r>
      <w:r w:rsidR="00721023" w:rsidRPr="00737801">
        <w:rPr>
          <w:rStyle w:val="FootnoteReference"/>
        </w:rPr>
        <w:footnoteReference w:id="51"/>
      </w:r>
      <w:r w:rsidR="00721023" w:rsidRPr="00737801">
        <w:t xml:space="preserve">  </w:t>
      </w:r>
    </w:p>
    <w:p w14:paraId="4FD27186" w14:textId="453DF0A1" w:rsidR="002771B6" w:rsidRPr="00737801" w:rsidRDefault="003E5EE1" w:rsidP="00A467C1">
      <w:pPr>
        <w:pStyle w:val="NoSpacing"/>
        <w:spacing w:after="200"/>
        <w:ind w:firstLine="720"/>
        <w:jc w:val="both"/>
      </w:pPr>
      <w:r>
        <w:t xml:space="preserve">The record here shows that WASA’s </w:t>
      </w:r>
      <w:r>
        <w:rPr>
          <w:i/>
          <w:iCs/>
        </w:rPr>
        <w:t xml:space="preserve">de minimis </w:t>
      </w:r>
      <w:r>
        <w:t>argument is wholly without merit</w:t>
      </w:r>
      <w:r w:rsidR="00A467C1">
        <w:t xml:space="preserve"> </w:t>
      </w:r>
      <w:r w:rsidR="00BD0875">
        <w:t>with respect to impacts and effects bargaining</w:t>
      </w:r>
      <w:r w:rsidR="00A467C1" w:rsidRPr="00737801">
        <w:rPr>
          <w:rStyle w:val="FootnoteReference"/>
        </w:rPr>
        <w:footnoteReference w:id="52"/>
      </w:r>
      <w:r>
        <w:t xml:space="preserve"> and irrelevant to </w:t>
      </w:r>
      <w:r w:rsidR="00A467C1">
        <w:t>the issue</w:t>
      </w:r>
      <w:r w:rsidR="00A16A1E">
        <w:t>s</w:t>
      </w:r>
      <w:r w:rsidR="00A467C1">
        <w:t xml:space="preserve"> before the Board</w:t>
      </w:r>
      <w:r>
        <w:t>.</w:t>
      </w:r>
      <w:r w:rsidRPr="003E5EE1">
        <w:rPr>
          <w:rStyle w:val="FootnoteReference"/>
        </w:rPr>
        <w:t xml:space="preserve"> </w:t>
      </w:r>
      <w:r w:rsidR="00A467C1">
        <w:t xml:space="preserve"> </w:t>
      </w:r>
      <w:r>
        <w:t xml:space="preserve">As noted by the Hearing Examiner, </w:t>
      </w:r>
      <w:r w:rsidR="00A16A1E">
        <w:t xml:space="preserve">the </w:t>
      </w:r>
      <w:r>
        <w:t xml:space="preserve">Board does not require the impacts of the implementation of a management rights decision to be substantial or significant in order to obligate an employer to </w:t>
      </w:r>
      <w:r>
        <w:lastRenderedPageBreak/>
        <w:t>bargain over those impacts at the request of a union.</w:t>
      </w:r>
      <w:r>
        <w:rPr>
          <w:rStyle w:val="FootnoteReference"/>
        </w:rPr>
        <w:footnoteReference w:id="53"/>
      </w:r>
      <w:r>
        <w:t xml:space="preserve">  </w:t>
      </w:r>
      <w:r w:rsidR="00533CEC" w:rsidRPr="00737801">
        <w:t>The Board has previously held that “</w:t>
      </w:r>
      <w:r w:rsidR="002C1D93">
        <w:t xml:space="preserve">the effects or impact of a non-bargainable management decision upon the terms and conditions of employment are bargainable </w:t>
      </w:r>
      <w:r w:rsidR="002C1D93" w:rsidRPr="002968A8">
        <w:rPr>
          <w:i/>
        </w:rPr>
        <w:t>upon request</w:t>
      </w:r>
      <w:r w:rsidR="002C1D93">
        <w:rPr>
          <w:i/>
          <w:iCs/>
        </w:rPr>
        <w:t xml:space="preserve"> </w:t>
      </w:r>
      <w:r w:rsidR="002C1D93">
        <w:t>(emphasis original)</w:t>
      </w:r>
      <w:r w:rsidR="00533CEC" w:rsidRPr="00737801">
        <w:t>.”</w:t>
      </w:r>
      <w:r w:rsidR="00533CEC" w:rsidRPr="00737801">
        <w:rPr>
          <w:rStyle w:val="FootnoteReference"/>
        </w:rPr>
        <w:footnoteReference w:id="54"/>
      </w:r>
      <w:r w:rsidR="00533CEC" w:rsidRPr="00737801">
        <w:t xml:space="preserve">   </w:t>
      </w:r>
      <w:r w:rsidR="00D45953" w:rsidRPr="00737801">
        <w:t>Here, t</w:t>
      </w:r>
      <w:r w:rsidR="007A35F0" w:rsidRPr="00737801">
        <w:t xml:space="preserve">he </w:t>
      </w:r>
      <w:r w:rsidR="006A4E37" w:rsidRPr="00737801">
        <w:t xml:space="preserve">Unions </w:t>
      </w:r>
      <w:r w:rsidR="007A35F0" w:rsidRPr="00737801">
        <w:t xml:space="preserve">requested </w:t>
      </w:r>
      <w:r w:rsidR="00EB3EBC" w:rsidRPr="00737801">
        <w:t xml:space="preserve">impact and effects </w:t>
      </w:r>
      <w:r w:rsidR="007A35F0" w:rsidRPr="00737801">
        <w:t xml:space="preserve">bargaining </w:t>
      </w:r>
      <w:r w:rsidR="00EB3EBC" w:rsidRPr="00737801">
        <w:t xml:space="preserve">concerning </w:t>
      </w:r>
      <w:r w:rsidR="007A35F0" w:rsidRPr="00737801">
        <w:t>the new Oracle system prior to the implementation of the system</w:t>
      </w:r>
      <w:r w:rsidR="00EB3EBC" w:rsidRPr="00737801">
        <w:t xml:space="preserve">. </w:t>
      </w:r>
      <w:r w:rsidR="00D45953" w:rsidRPr="00737801">
        <w:t xml:space="preserve"> </w:t>
      </w:r>
      <w:r w:rsidR="00CF0EC4" w:rsidRPr="00737801">
        <w:t>WASA</w:t>
      </w:r>
      <w:r w:rsidR="007A35F0" w:rsidRPr="00737801">
        <w:t xml:space="preserve"> denied </w:t>
      </w:r>
      <w:proofErr w:type="gramStart"/>
      <w:r w:rsidR="00EB3EBC" w:rsidRPr="00737801">
        <w:t>all of</w:t>
      </w:r>
      <w:proofErr w:type="gramEnd"/>
      <w:r w:rsidR="00EB3EBC" w:rsidRPr="00737801">
        <w:t xml:space="preserve"> the Unions</w:t>
      </w:r>
      <w:r w:rsidR="00533CEC" w:rsidRPr="00737801">
        <w:t>’</w:t>
      </w:r>
      <w:r w:rsidR="00EB3EBC" w:rsidRPr="00737801">
        <w:t xml:space="preserve"> </w:t>
      </w:r>
      <w:r w:rsidR="007A35F0" w:rsidRPr="00737801">
        <w:t>requests</w:t>
      </w:r>
      <w:r w:rsidR="00EB3EBC" w:rsidRPr="00737801">
        <w:t xml:space="preserve"> to bargain the impact and effects</w:t>
      </w:r>
      <w:r w:rsidR="007A35F0" w:rsidRPr="00737801">
        <w:t xml:space="preserve">.  </w:t>
      </w:r>
      <w:r w:rsidR="003A6A1A" w:rsidRPr="00737801">
        <w:t>Merely responding to requests to bargain with a denial, even with an offer to further discuss, does not fulfill an agency’s duty to bargain over the impact and effects of the implementation of management-chosen technology.</w:t>
      </w:r>
      <w:r w:rsidR="003A6A1A" w:rsidRPr="00737801">
        <w:rPr>
          <w:rStyle w:val="FootnoteReference"/>
        </w:rPr>
        <w:footnoteReference w:id="55"/>
      </w:r>
      <w:r w:rsidR="002771B6" w:rsidRPr="00737801">
        <w:t xml:space="preserve">  Board precedent has established what constitutes “good faith” negotiations as applied to impact and effects bargaining: </w:t>
      </w:r>
    </w:p>
    <w:p w14:paraId="10AF6F49" w14:textId="43A9DA4D" w:rsidR="002771B6" w:rsidRPr="00737801" w:rsidRDefault="002771B6" w:rsidP="006C481B">
      <w:pPr>
        <w:pStyle w:val="NoSpacing"/>
        <w:spacing w:after="200"/>
        <w:ind w:left="720" w:right="720"/>
        <w:jc w:val="both"/>
      </w:pPr>
      <w:r w:rsidRPr="00737801">
        <w:t xml:space="preserve">[w]hen I&amp;E bargaining has been requested by the exclusive representative, the agency fulfills its duty to bargain in good faith by going beyond “simply discussing” its proposal with the union, and by doing more than merely requesting the union’s input.  Furthermore, the agency’s participation cannot constitute mere “surface </w:t>
      </w:r>
      <w:r w:rsidR="004F2918" w:rsidRPr="00737801">
        <w:t>bargaining” …</w:t>
      </w:r>
      <w:r w:rsidRPr="00737801">
        <w:t>Rather, there must be a give and take, with the negotiations entailing full and unabridged opportunities by both parties to advance, exchange, and reject specific proposals.</w:t>
      </w:r>
      <w:r w:rsidRPr="00737801">
        <w:rPr>
          <w:rStyle w:val="FootnoteReference"/>
        </w:rPr>
        <w:footnoteReference w:id="56"/>
      </w:r>
    </w:p>
    <w:p w14:paraId="07B8754D" w14:textId="22EAC517" w:rsidR="00044278" w:rsidRPr="00737801" w:rsidRDefault="004306F6" w:rsidP="006C481B">
      <w:pPr>
        <w:pStyle w:val="NoSpacing"/>
        <w:spacing w:after="200"/>
        <w:ind w:firstLine="720"/>
        <w:jc w:val="both"/>
      </w:pPr>
      <w:r>
        <w:t>Likewise, the</w:t>
      </w:r>
      <w:r w:rsidR="003E5EE1">
        <w:t xml:space="preserve"> Hearing Examiner appropriately found</w:t>
      </w:r>
      <w:r>
        <w:t xml:space="preserve"> </w:t>
      </w:r>
      <w:r w:rsidR="003E5EE1">
        <w:t>that WASA had a duty to bargain before changing its practices concerning the dues deduction report.</w:t>
      </w:r>
      <w:r w:rsidR="001C74B1">
        <w:rPr>
          <w:rStyle w:val="FootnoteReference"/>
        </w:rPr>
        <w:footnoteReference w:id="57"/>
      </w:r>
    </w:p>
    <w:p w14:paraId="1178AAA4" w14:textId="3A74A815" w:rsidR="00E14EF9" w:rsidRPr="00737801" w:rsidRDefault="00F43CB3" w:rsidP="006C481B">
      <w:pPr>
        <w:pStyle w:val="NoSpacing"/>
        <w:spacing w:after="200"/>
        <w:ind w:firstLine="720"/>
        <w:jc w:val="both"/>
      </w:pPr>
      <w:r w:rsidRPr="00737801">
        <w:t>Even though the method</w:t>
      </w:r>
      <w:r w:rsidR="00D125B8" w:rsidRPr="00737801">
        <w:t>s</w:t>
      </w:r>
      <w:r w:rsidRPr="00737801">
        <w:t xml:space="preserve"> for dues deduction reports </w:t>
      </w:r>
      <w:r w:rsidR="00BC1376" w:rsidRPr="00737801">
        <w:t>were</w:t>
      </w:r>
      <w:r w:rsidRPr="00737801">
        <w:t xml:space="preserve"> not explicitly laid out in the parties’ </w:t>
      </w:r>
      <w:r w:rsidR="00BC1376" w:rsidRPr="00737801">
        <w:t>CBAs</w:t>
      </w:r>
      <w:r w:rsidRPr="00737801">
        <w:t xml:space="preserve">, </w:t>
      </w:r>
      <w:r w:rsidR="00D125B8" w:rsidRPr="00737801">
        <w:t>such methods had been an established past practice between WASA and the Unions.</w:t>
      </w:r>
      <w:r w:rsidR="00D125B8" w:rsidRPr="00737801">
        <w:rPr>
          <w:rStyle w:val="FootnoteReference"/>
        </w:rPr>
        <w:footnoteReference w:id="58"/>
      </w:r>
      <w:r w:rsidR="00F91A21" w:rsidRPr="00737801">
        <w:t xml:space="preserve">  </w:t>
      </w:r>
      <w:r w:rsidR="00971394" w:rsidRPr="00737801">
        <w:t>D.C. Official Code § 1-617.07 states that “[a]</w:t>
      </w:r>
      <w:proofErr w:type="spellStart"/>
      <w:r w:rsidR="00971394" w:rsidRPr="00737801">
        <w:t>ny</w:t>
      </w:r>
      <w:proofErr w:type="spellEnd"/>
      <w:r w:rsidR="00971394" w:rsidRPr="00737801">
        <w:t xml:space="preserve"> labor organization which has been certified as the exclusive representative shall, upon request, have its dues and uniform assessments deducted and collected by the employer from the salaries of those employees who authorize the deduction of said dues. Such authorization, costs, and termination shall be proper subjects of collective bargaining.”</w:t>
      </w:r>
      <w:r w:rsidR="00AE785F">
        <w:rPr>
          <w:rStyle w:val="FootnoteReference"/>
        </w:rPr>
        <w:footnoteReference w:id="59"/>
      </w:r>
      <w:r w:rsidR="00971394" w:rsidRPr="00737801">
        <w:t xml:space="preserve">  </w:t>
      </w:r>
      <w:r w:rsidR="007E156A" w:rsidRPr="00737801">
        <w:t xml:space="preserve">The Board has held previously that a unilateral change in established and bargainable terms and conditions of employment constitutes an unfair labor practice, unless such terms and conditions are specifically covered by the parties’ </w:t>
      </w:r>
      <w:r w:rsidR="006A0BE2">
        <w:t>CBA</w:t>
      </w:r>
      <w:r w:rsidR="007E156A" w:rsidRPr="00737801">
        <w:t>.</w:t>
      </w:r>
      <w:r w:rsidR="003A7AF0" w:rsidRPr="00737801">
        <w:rPr>
          <w:rStyle w:val="FootnoteReference"/>
        </w:rPr>
        <w:footnoteReference w:id="60"/>
      </w:r>
      <w:r w:rsidR="007E156A" w:rsidRPr="00737801">
        <w:t xml:space="preserve">  A past practice is an unwritten term and condition of employment.</w:t>
      </w:r>
      <w:r w:rsidR="003A7AF0" w:rsidRPr="00737801">
        <w:rPr>
          <w:rStyle w:val="FootnoteReference"/>
        </w:rPr>
        <w:footnoteReference w:id="61"/>
      </w:r>
      <w:r w:rsidR="007E156A" w:rsidRPr="00737801">
        <w:t xml:space="preserve">  </w:t>
      </w:r>
      <w:r w:rsidR="003A7AF0" w:rsidRPr="00737801">
        <w:t>Employers are obligated to observe these unwritten terms</w:t>
      </w:r>
      <w:r w:rsidR="002557C9">
        <w:t>,</w:t>
      </w:r>
      <w:r w:rsidR="003A7AF0" w:rsidRPr="00737801">
        <w:t xml:space="preserve"> and the Board has found that a unilateral change to a past practice is an unfair labor practice.</w:t>
      </w:r>
      <w:r w:rsidR="003A7AF0" w:rsidRPr="00737801">
        <w:rPr>
          <w:rStyle w:val="FootnoteReference"/>
        </w:rPr>
        <w:footnoteReference w:id="62"/>
      </w:r>
      <w:r w:rsidR="008C4A9F" w:rsidRPr="00737801">
        <w:t xml:space="preserve">  </w:t>
      </w:r>
      <w:r w:rsidR="005F5942" w:rsidRPr="00737801">
        <w:lastRenderedPageBreak/>
        <w:t xml:space="preserve">WASA’s unilateral implementation of Oracle led to changes in the parties’ dues deduction reports that could have been bargained over and that the Unions requested to bargain over, as well as ultimately errors in the reports that left employees’ union status and dues in question. </w:t>
      </w:r>
    </w:p>
    <w:p w14:paraId="4138E06C" w14:textId="270C280B" w:rsidR="00880615" w:rsidRPr="00737801" w:rsidRDefault="00E17B9C" w:rsidP="004A4868">
      <w:pPr>
        <w:pStyle w:val="NoSpacing"/>
        <w:spacing w:after="200"/>
        <w:ind w:firstLine="720"/>
        <w:jc w:val="both"/>
      </w:pPr>
      <w:r w:rsidRPr="00737801">
        <w:t xml:space="preserve">WASA </w:t>
      </w:r>
      <w:r w:rsidR="002557C9">
        <w:t xml:space="preserve">took exception </w:t>
      </w:r>
      <w:r w:rsidRPr="00737801">
        <w:t>to the Hearing Examiner’s use of the term “implementation” in both his Recommended Order and proposed Notice rather than “procedures regarding implementation.”</w:t>
      </w:r>
      <w:r w:rsidRPr="00737801">
        <w:rPr>
          <w:rStyle w:val="FootnoteReference"/>
        </w:rPr>
        <w:footnoteReference w:id="63"/>
      </w:r>
      <w:r w:rsidRPr="00737801">
        <w:t xml:space="preserve">  </w:t>
      </w:r>
      <w:r w:rsidR="007528F1" w:rsidRPr="00737801">
        <w:t xml:space="preserve">However, </w:t>
      </w:r>
      <w:r w:rsidR="00B837DA" w:rsidRPr="00737801">
        <w:t xml:space="preserve">the Board has previously held that the exercise of management rights does not relieve an employer of its obligation to bargain over </w:t>
      </w:r>
      <w:r w:rsidR="007F4AC7" w:rsidRPr="00737801">
        <w:t>the impact and effects of, and procedures concerning, the implementation of management rights.</w:t>
      </w:r>
      <w:r w:rsidR="007F4AC7" w:rsidRPr="00737801">
        <w:rPr>
          <w:rStyle w:val="FootnoteReference"/>
        </w:rPr>
        <w:footnoteReference w:id="64"/>
      </w:r>
      <w:r w:rsidR="00B837DA" w:rsidRPr="00737801">
        <w:t xml:space="preserve"> </w:t>
      </w:r>
      <w:r w:rsidR="0032226E" w:rsidRPr="00737801">
        <w:t xml:space="preserve"> Board precedent includes the requirement to bargain over procedures concerning the implementation of management rights, but not at the exclusion of other, broader impact and effects of </w:t>
      </w:r>
      <w:r w:rsidR="00BC1376" w:rsidRPr="00737801">
        <w:t xml:space="preserve">the </w:t>
      </w:r>
      <w:r w:rsidR="0032226E" w:rsidRPr="00737801">
        <w:t>implementation of management rights.</w:t>
      </w:r>
      <w:r w:rsidR="0032226E" w:rsidRPr="00737801">
        <w:rPr>
          <w:rStyle w:val="FootnoteReference"/>
        </w:rPr>
        <w:footnoteReference w:id="65"/>
      </w:r>
    </w:p>
    <w:p w14:paraId="0D1FB2FF" w14:textId="6DB48EB1" w:rsidR="006538BD" w:rsidRDefault="004306F6" w:rsidP="00215BD9">
      <w:pPr>
        <w:pStyle w:val="NoSpacing"/>
        <w:spacing w:after="200"/>
        <w:ind w:firstLine="720"/>
        <w:jc w:val="both"/>
      </w:pPr>
      <w:r w:rsidRPr="004306F6">
        <w:t>The Board will adopt a Hearing Examiner’s Report &amp; Recommendations if it is reasonable, supported by the record, and consistent with PERB precedent.</w:t>
      </w:r>
      <w:r w:rsidR="00905335">
        <w:rPr>
          <w:rStyle w:val="FootnoteReference"/>
        </w:rPr>
        <w:footnoteReference w:id="66"/>
      </w:r>
      <w:r w:rsidRPr="004306F6">
        <w:t xml:space="preserve"> </w:t>
      </w:r>
      <w:r w:rsidR="00AC58A1">
        <w:t xml:space="preserve"> </w:t>
      </w:r>
      <w:r w:rsidRPr="004306F6">
        <w:t>Mere disagreement with a Hearing Examiner’s findings or challenges to the Hearing Examiner’s findings with competing evidence do not constitute proper exceptions, if the record contains evidence supporting the Hearing Examiner’s conclusions.</w:t>
      </w:r>
      <w:r w:rsidR="00AC58A1">
        <w:rPr>
          <w:rStyle w:val="FootnoteReference"/>
        </w:rPr>
        <w:footnoteReference w:id="67"/>
      </w:r>
      <w:r w:rsidRPr="004306F6">
        <w:t xml:space="preserve"> </w:t>
      </w:r>
      <w:r>
        <w:t xml:space="preserve"> Therefore, t</w:t>
      </w:r>
      <w:r w:rsidR="00D423D7" w:rsidRPr="00737801">
        <w:t>he Board adopts the Hearing Examiner’s findings, conclusions, and recommendations, outside of minor alterations to the language of and timeframes for compliance with the Order and proposed Notice.  As such, the Board finds that WASA committed an unfair labor practice in violation of D.C. Official Code § 1-617.04 in refusing the Unions’ requests to bargain over the impact and effects of the implementation of the Oracle payroll system.</w:t>
      </w:r>
      <w:r w:rsidR="00F31AF9" w:rsidRPr="00737801">
        <w:rPr>
          <w:rStyle w:val="FootnoteReference"/>
        </w:rPr>
        <w:footnoteReference w:id="68"/>
      </w:r>
      <w:r w:rsidR="00D423D7" w:rsidRPr="00737801">
        <w:t xml:space="preserve">  </w:t>
      </w:r>
    </w:p>
    <w:p w14:paraId="0CF79CB6" w14:textId="4F485A9C" w:rsidR="0084385A" w:rsidRDefault="00057B2E" w:rsidP="00C96937">
      <w:pPr>
        <w:pStyle w:val="NoSpacing"/>
        <w:ind w:firstLine="720"/>
        <w:jc w:val="both"/>
      </w:pPr>
      <w:r>
        <w:t>Although</w:t>
      </w:r>
      <w:r w:rsidRPr="00737801">
        <w:t xml:space="preserve"> WASA </w:t>
      </w:r>
      <w:r>
        <w:t xml:space="preserve">took exception to </w:t>
      </w:r>
      <w:r w:rsidRPr="00737801">
        <w:t>the Hearing Examiner’s discussion of the requirement of maintaining status quo during impact and effects bargaining</w:t>
      </w:r>
      <w:r>
        <w:t>,</w:t>
      </w:r>
      <w:r w:rsidRPr="00057B2E">
        <w:rPr>
          <w:rStyle w:val="FootnoteReference"/>
        </w:rPr>
        <w:t xml:space="preserve"> </w:t>
      </w:r>
      <w:r w:rsidRPr="00737801">
        <w:rPr>
          <w:rStyle w:val="FootnoteReference"/>
        </w:rPr>
        <w:footnoteReference w:id="69"/>
      </w:r>
      <w:r>
        <w:t xml:space="preserve"> </w:t>
      </w:r>
      <w:r w:rsidRPr="00737801">
        <w:t xml:space="preserve">the Hearing Examiner did not recommend a return to </w:t>
      </w:r>
      <w:r w:rsidRPr="00737801">
        <w:rPr>
          <w:i/>
          <w:iCs/>
        </w:rPr>
        <w:t>status quo ante</w:t>
      </w:r>
      <w:r w:rsidRPr="00737801">
        <w:t xml:space="preserve"> as relief.</w:t>
      </w:r>
      <w:r w:rsidRPr="00737801">
        <w:rPr>
          <w:rStyle w:val="FootnoteReference"/>
        </w:rPr>
        <w:footnoteReference w:id="70"/>
      </w:r>
      <w:r w:rsidRPr="00737801">
        <w:t xml:space="preserve">  </w:t>
      </w:r>
      <w:r w:rsidR="00C96937">
        <w:t xml:space="preserve">When a violation is found, the Board's order is intended to have a remedial effect. </w:t>
      </w:r>
      <w:r w:rsidR="000A4CA6">
        <w:t xml:space="preserve"> </w:t>
      </w:r>
      <w:r w:rsidR="00C96937">
        <w:t>The overriding purpose and policy of relief afforded under the CMPA for unfair labor practices is the protection of rights and obligations.</w:t>
      </w:r>
      <w:r w:rsidR="00490D00">
        <w:rPr>
          <w:rStyle w:val="FootnoteReference"/>
        </w:rPr>
        <w:footnoteReference w:id="71"/>
      </w:r>
      <w:r w:rsidR="009F53C4">
        <w:t xml:space="preserve"> </w:t>
      </w:r>
      <w:r w:rsidR="00C96937">
        <w:t xml:space="preserve"> Generally, status quo ante relief is an inappropriate redress for a refusal to bargain over impact and effects.</w:t>
      </w:r>
      <w:r w:rsidR="008D7868">
        <w:rPr>
          <w:rStyle w:val="FootnoteReference"/>
        </w:rPr>
        <w:footnoteReference w:id="72"/>
      </w:r>
      <w:r w:rsidR="00C96937" w:rsidRPr="00C96937">
        <w:t xml:space="preserve"> </w:t>
      </w:r>
      <w:r w:rsidR="009F53C4">
        <w:t xml:space="preserve"> </w:t>
      </w:r>
      <w:r w:rsidR="00C96937">
        <w:t xml:space="preserve">The Board has held </w:t>
      </w:r>
      <w:r w:rsidR="0084385A">
        <w:t>“</w:t>
      </w:r>
      <w:r w:rsidR="00C96937">
        <w:t xml:space="preserve">status quo ante relief is not appropriate when: (1) the rescission of the management decision would disrupt or impair the </w:t>
      </w:r>
      <w:r w:rsidR="0084385A">
        <w:t>a</w:t>
      </w:r>
      <w:r w:rsidR="00C96937">
        <w:t xml:space="preserve">gency's operations, and (2) there is no evidence that the </w:t>
      </w:r>
      <w:r w:rsidR="00C96937">
        <w:lastRenderedPageBreak/>
        <w:t>results of such bargaining would negate a management rights decision.</w:t>
      </w:r>
      <w:r w:rsidR="0084385A">
        <w:t>”</w:t>
      </w:r>
      <w:r w:rsidR="00140588">
        <w:rPr>
          <w:rStyle w:val="FootnoteReference"/>
        </w:rPr>
        <w:footnoteReference w:id="73"/>
      </w:r>
      <w:r w:rsidR="00C96937">
        <w:t xml:space="preserve"> </w:t>
      </w:r>
      <w:r w:rsidR="009F53C4">
        <w:t xml:space="preserve"> </w:t>
      </w:r>
      <w:r w:rsidR="00C96937">
        <w:t xml:space="preserve">Further, </w:t>
      </w:r>
      <w:r w:rsidR="00A373E4">
        <w:t>after</w:t>
      </w:r>
      <w:r w:rsidR="00C96937">
        <w:t xml:space="preserve"> a significant passage of time after an </w:t>
      </w:r>
      <w:r w:rsidR="0084385A">
        <w:t>a</w:t>
      </w:r>
      <w:r w:rsidR="00C96937">
        <w:t>gency</w:t>
      </w:r>
      <w:r w:rsidR="0084385A">
        <w:t xml:space="preserve"> </w:t>
      </w:r>
      <w:r w:rsidR="00C96937">
        <w:t>has implemented its changes without bargaining, impact and effects bargaining should be limited to</w:t>
      </w:r>
      <w:r w:rsidR="0084385A">
        <w:t xml:space="preserve"> </w:t>
      </w:r>
      <w:r w:rsidR="00C96937">
        <w:t>only those subjects that are still r</w:t>
      </w:r>
      <w:r w:rsidR="0084385A">
        <w:t>i</w:t>
      </w:r>
      <w:r w:rsidR="00C96937">
        <w:t>pe</w:t>
      </w:r>
      <w:r w:rsidR="0084385A">
        <w:t>.</w:t>
      </w:r>
      <w:r w:rsidR="00140588">
        <w:rPr>
          <w:rStyle w:val="FootnoteReference"/>
        </w:rPr>
        <w:footnoteReference w:id="74"/>
      </w:r>
    </w:p>
    <w:p w14:paraId="505EB220" w14:textId="77777777" w:rsidR="0084385A" w:rsidRDefault="0084385A" w:rsidP="00C96937">
      <w:pPr>
        <w:pStyle w:val="NoSpacing"/>
        <w:ind w:firstLine="720"/>
        <w:jc w:val="both"/>
      </w:pPr>
    </w:p>
    <w:p w14:paraId="1B90B23F" w14:textId="117A3B43" w:rsidR="00A373E4" w:rsidRDefault="0084385A" w:rsidP="00C96937">
      <w:pPr>
        <w:pStyle w:val="NoSpacing"/>
        <w:ind w:firstLine="720"/>
        <w:jc w:val="both"/>
      </w:pPr>
      <w:r>
        <w:t xml:space="preserve">Under the circumstances of this case, the Board finds </w:t>
      </w:r>
      <w:r w:rsidR="004677D2">
        <w:t xml:space="preserve">that rescinding </w:t>
      </w:r>
      <w:r>
        <w:t xml:space="preserve">the Oracle payroll system would disrupt WASA operations and there is no evidence that impact and effects bargaining </w:t>
      </w:r>
      <w:r w:rsidR="00140588">
        <w:t>would have</w:t>
      </w:r>
      <w:r>
        <w:t xml:space="preserve"> negated WASA’s decision to implement Oracle.</w:t>
      </w:r>
      <w:r w:rsidR="000A4CA6">
        <w:t xml:space="preserve"> </w:t>
      </w:r>
      <w:r>
        <w:t xml:space="preserve"> Therefore,</w:t>
      </w:r>
      <w:r w:rsidR="00140588">
        <w:t xml:space="preserve"> status quo ante relief is inappropriate. </w:t>
      </w:r>
      <w:r w:rsidR="000A4CA6">
        <w:t xml:space="preserve"> </w:t>
      </w:r>
      <w:r w:rsidR="00140588">
        <w:t xml:space="preserve">Nevertheless, WASA must bargain </w:t>
      </w:r>
      <w:r w:rsidR="00057B2E">
        <w:t xml:space="preserve">the impact and effects of </w:t>
      </w:r>
      <w:r w:rsidR="00140588">
        <w:t>all issues that remain ripe between the parties concerning the implementation of the Oracle payroll system.</w:t>
      </w:r>
    </w:p>
    <w:p w14:paraId="28BBF35A" w14:textId="7AAEB633" w:rsidR="00C96937" w:rsidRPr="00737801" w:rsidRDefault="00140588" w:rsidP="00596D40">
      <w:pPr>
        <w:pStyle w:val="NoSpacing"/>
        <w:ind w:firstLine="720"/>
        <w:jc w:val="both"/>
      </w:pPr>
      <w:r>
        <w:t xml:space="preserve"> </w:t>
      </w:r>
      <w:r w:rsidR="0084385A">
        <w:t xml:space="preserve">   </w:t>
      </w:r>
    </w:p>
    <w:p w14:paraId="70731494" w14:textId="3E066AB9" w:rsidR="003E3F5C" w:rsidRPr="00737801" w:rsidRDefault="00A5372F" w:rsidP="00880615">
      <w:pPr>
        <w:pStyle w:val="NoSpacing"/>
        <w:numPr>
          <w:ilvl w:val="0"/>
          <w:numId w:val="1"/>
        </w:numPr>
        <w:spacing w:after="200"/>
        <w:ind w:left="720"/>
        <w:jc w:val="both"/>
      </w:pPr>
      <w:r w:rsidRPr="00737801">
        <w:rPr>
          <w:b/>
          <w:bCs/>
        </w:rPr>
        <w:t>Conclusion</w:t>
      </w:r>
    </w:p>
    <w:p w14:paraId="0687387A" w14:textId="2069229D" w:rsidR="00BC1376" w:rsidRDefault="00BC1376" w:rsidP="00EF5ECD">
      <w:pPr>
        <w:pStyle w:val="NoSpacing"/>
        <w:ind w:firstLine="720"/>
        <w:jc w:val="both"/>
      </w:pPr>
      <w:r w:rsidRPr="00737801">
        <w:t xml:space="preserve">The Board finds that WASA committed an unfair labor practice when it unilaterally implemented the Oracle payroll system despite the Unions’ timely request to bargain over impact and effects.  Conversely, the Board finds that WASA did not violate the CMPA in rejecting the Unions’ request for a demonstration of </w:t>
      </w:r>
      <w:r w:rsidR="00215BD9" w:rsidRPr="00737801">
        <w:t>time and attendance processing procedures</w:t>
      </w:r>
      <w:r w:rsidRPr="00737801">
        <w:t>.</w:t>
      </w:r>
      <w:r w:rsidR="008936C6" w:rsidRPr="00737801">
        <w:t xml:space="preserve">  </w:t>
      </w:r>
      <w:r w:rsidR="003C75BE" w:rsidRPr="00737801">
        <w:t xml:space="preserve">Therefore, the Complaint is </w:t>
      </w:r>
      <w:r w:rsidR="00AA10A0" w:rsidRPr="00737801">
        <w:t>granted</w:t>
      </w:r>
      <w:r w:rsidR="003C75BE" w:rsidRPr="00737801">
        <w:t xml:space="preserve"> in part and dismissed in part.</w:t>
      </w:r>
    </w:p>
    <w:p w14:paraId="1FDF5327" w14:textId="77777777" w:rsidR="00E02A88" w:rsidRDefault="00E02A88" w:rsidP="00EF5ECD">
      <w:pPr>
        <w:pStyle w:val="NoSpacing"/>
        <w:ind w:firstLine="720"/>
        <w:jc w:val="both"/>
      </w:pPr>
    </w:p>
    <w:p w14:paraId="67A36843" w14:textId="559C056E" w:rsidR="003E3F5C" w:rsidRPr="00737801" w:rsidRDefault="003E3F5C" w:rsidP="00880615">
      <w:pPr>
        <w:pStyle w:val="NoSpacing"/>
        <w:spacing w:after="200"/>
        <w:jc w:val="center"/>
      </w:pPr>
      <w:r w:rsidRPr="00737801">
        <w:rPr>
          <w:b/>
          <w:bCs/>
          <w:u w:val="single"/>
        </w:rPr>
        <w:t>ORDER</w:t>
      </w:r>
    </w:p>
    <w:p w14:paraId="77228669" w14:textId="5D893E54" w:rsidR="003E3F5C" w:rsidRPr="00737801" w:rsidRDefault="003E3F5C" w:rsidP="00880615">
      <w:pPr>
        <w:pStyle w:val="NoSpacing"/>
        <w:spacing w:after="200"/>
        <w:jc w:val="both"/>
      </w:pPr>
      <w:r w:rsidRPr="00737801">
        <w:rPr>
          <w:b/>
          <w:bCs/>
        </w:rPr>
        <w:t xml:space="preserve">IT IS HEREBY ORDERED THAT: </w:t>
      </w:r>
    </w:p>
    <w:p w14:paraId="073376D8" w14:textId="35693B5D" w:rsidR="00C725EA" w:rsidRPr="00737801" w:rsidRDefault="00A54D9B" w:rsidP="00880615">
      <w:pPr>
        <w:pStyle w:val="NoSpacing"/>
        <w:numPr>
          <w:ilvl w:val="0"/>
          <w:numId w:val="4"/>
        </w:numPr>
        <w:spacing w:after="200"/>
        <w:jc w:val="both"/>
      </w:pPr>
      <w:r w:rsidRPr="00737801">
        <w:t xml:space="preserve">The D.C. Water &amp; Sewer Authority shall </w:t>
      </w:r>
      <w:r w:rsidR="00AA10A0" w:rsidRPr="00737801">
        <w:t>cease and desist from refusing to bargain in good faith with the Unions concerning the implementation of the Oracle payroll system and its effects on bargaining unit employees</w:t>
      </w:r>
      <w:r w:rsidR="00345915" w:rsidRPr="00737801">
        <w:t>;</w:t>
      </w:r>
      <w:r w:rsidR="00AA10A0" w:rsidRPr="00737801">
        <w:t xml:space="preserve"> </w:t>
      </w:r>
    </w:p>
    <w:p w14:paraId="78698B6D" w14:textId="142BD50F" w:rsidR="00A15A39" w:rsidRPr="00737801" w:rsidRDefault="00A54D9B" w:rsidP="00880615">
      <w:pPr>
        <w:pStyle w:val="NoSpacing"/>
        <w:numPr>
          <w:ilvl w:val="0"/>
          <w:numId w:val="4"/>
        </w:numPr>
        <w:spacing w:after="200"/>
        <w:jc w:val="both"/>
      </w:pPr>
      <w:r w:rsidRPr="00737801">
        <w:t>The D.C. Water &amp; Sewer Authority</w:t>
      </w:r>
      <w:r w:rsidR="00C725EA" w:rsidRPr="00737801">
        <w:t xml:space="preserve"> </w:t>
      </w:r>
      <w:r w:rsidRPr="00737801">
        <w:t xml:space="preserve">shall </w:t>
      </w:r>
      <w:r w:rsidR="00C725EA" w:rsidRPr="00737801">
        <w:t>cease and desist from implementing changes in employment pertaining to the Oracle payroll system without fulfilling its bargaining obligation with the Unions concerning its implementation and effects on bargaining unit employees</w:t>
      </w:r>
      <w:r w:rsidR="00345915" w:rsidRPr="00737801">
        <w:t>;</w:t>
      </w:r>
    </w:p>
    <w:p w14:paraId="1CDCE422" w14:textId="16580D70" w:rsidR="005E274B" w:rsidRPr="00737801" w:rsidRDefault="00A54D9B" w:rsidP="00880615">
      <w:pPr>
        <w:pStyle w:val="NoSpacing"/>
        <w:numPr>
          <w:ilvl w:val="0"/>
          <w:numId w:val="4"/>
        </w:numPr>
        <w:spacing w:after="200"/>
        <w:jc w:val="both"/>
      </w:pPr>
      <w:r w:rsidRPr="00737801">
        <w:t>The D.C. Water &amp; Sewer Authority</w:t>
      </w:r>
      <w:r w:rsidR="005E274B" w:rsidRPr="00737801">
        <w:t xml:space="preserve"> shall</w:t>
      </w:r>
      <w:r w:rsidR="00AC58A1">
        <w:t>,</w:t>
      </w:r>
      <w:r w:rsidR="00345915" w:rsidRPr="00737801">
        <w:t xml:space="preserve"> </w:t>
      </w:r>
      <w:r w:rsidR="00AC58A1" w:rsidRPr="00737801">
        <w:t xml:space="preserve">within thirty (30) days of the issuance of this </w:t>
      </w:r>
      <w:r w:rsidR="00EE5950">
        <w:t>Decision and Order</w:t>
      </w:r>
      <w:r w:rsidR="00AC58A1">
        <w:t>,</w:t>
      </w:r>
      <w:r w:rsidR="00AC58A1" w:rsidRPr="00737801">
        <w:t xml:space="preserve"> </w:t>
      </w:r>
      <w:r w:rsidR="00AC58A1">
        <w:t>commence bargaining</w:t>
      </w:r>
      <w:r w:rsidR="00345915" w:rsidRPr="00737801">
        <w:t xml:space="preserve"> with </w:t>
      </w:r>
      <w:r w:rsidR="00D573B9" w:rsidRPr="00737801">
        <w:t>the American Federation of Government Employees, Local 631, the American Federation of Government Employees, Local 872, and the National Association of Government Employees</w:t>
      </w:r>
      <w:r w:rsidR="00AC58A1">
        <w:t>,</w:t>
      </w:r>
      <w:r w:rsidR="00D573B9" w:rsidRPr="00737801">
        <w:t xml:space="preserve"> Local R3-06</w:t>
      </w:r>
      <w:r w:rsidR="00EE5950">
        <w:t>,</w:t>
      </w:r>
      <w:r w:rsidR="005E274B" w:rsidRPr="00737801">
        <w:t xml:space="preserve"> over the impact and effects </w:t>
      </w:r>
      <w:r w:rsidR="00AC58A1">
        <w:t xml:space="preserve">of </w:t>
      </w:r>
      <w:r w:rsidR="00717E39">
        <w:t xml:space="preserve">any issues that remain ripe or relevant to </w:t>
      </w:r>
      <w:r w:rsidR="00AC58A1">
        <w:t>the</w:t>
      </w:r>
      <w:r w:rsidR="005E274B" w:rsidRPr="00737801">
        <w:t xml:space="preserve"> implementation of Oracle</w:t>
      </w:r>
      <w:r w:rsidR="00345915" w:rsidRPr="00737801">
        <w:t>;</w:t>
      </w:r>
    </w:p>
    <w:p w14:paraId="25A34057" w14:textId="42D308DF" w:rsidR="005E274B" w:rsidRPr="00737801" w:rsidRDefault="00A54D9B" w:rsidP="00215BD9">
      <w:pPr>
        <w:pStyle w:val="NoSpacing"/>
        <w:numPr>
          <w:ilvl w:val="0"/>
          <w:numId w:val="4"/>
        </w:numPr>
        <w:spacing w:after="200"/>
        <w:jc w:val="both"/>
      </w:pPr>
      <w:r w:rsidRPr="00737801">
        <w:t>The D.C. Water &amp; Sewer Authority</w:t>
      </w:r>
      <w:r w:rsidR="006950F6" w:rsidRPr="00737801">
        <w:t xml:space="preserve"> shall, within </w:t>
      </w:r>
      <w:r w:rsidRPr="00737801">
        <w:t>ten (10)</w:t>
      </w:r>
      <w:r w:rsidR="006950F6" w:rsidRPr="00737801">
        <w:t xml:space="preserve"> days of the issuance of this </w:t>
      </w:r>
      <w:r w:rsidRPr="00737801">
        <w:t>Decision and Order</w:t>
      </w:r>
      <w:r w:rsidR="006950F6" w:rsidRPr="00737801">
        <w:t xml:space="preserve">, post at its facilities copies of the attached </w:t>
      </w:r>
      <w:r w:rsidR="009467C8" w:rsidRPr="00737801">
        <w:t>N</w:t>
      </w:r>
      <w:r w:rsidR="006950F6" w:rsidRPr="00737801">
        <w:t>otice</w:t>
      </w:r>
      <w:r w:rsidR="009467C8" w:rsidRPr="00737801">
        <w:t>,</w:t>
      </w:r>
      <w:r w:rsidR="006950F6" w:rsidRPr="00737801">
        <w:t xml:space="preserve"> marked “Appendix</w:t>
      </w:r>
      <w:r w:rsidR="00057B2E">
        <w:t> </w:t>
      </w:r>
      <w:r w:rsidR="006950F6" w:rsidRPr="00737801">
        <w:t>A</w:t>
      </w:r>
      <w:r w:rsidR="00F74005" w:rsidRPr="00737801">
        <w:t>,</w:t>
      </w:r>
      <w:r w:rsidR="006950F6" w:rsidRPr="00737801">
        <w:t xml:space="preserve">” </w:t>
      </w:r>
      <w:r w:rsidR="00F74005" w:rsidRPr="00737801">
        <w:t>both electronically and on all bulletin boards where notices to bargaining unit employees are posted for thirty (30) days;</w:t>
      </w:r>
    </w:p>
    <w:p w14:paraId="36682471" w14:textId="1EE4D42C" w:rsidR="003E3F5C" w:rsidRPr="00737801" w:rsidRDefault="00A54D9B" w:rsidP="00880615">
      <w:pPr>
        <w:pStyle w:val="NoSpacing"/>
        <w:numPr>
          <w:ilvl w:val="0"/>
          <w:numId w:val="4"/>
        </w:numPr>
        <w:spacing w:after="200"/>
        <w:jc w:val="both"/>
      </w:pPr>
      <w:r w:rsidRPr="00737801">
        <w:lastRenderedPageBreak/>
        <w:t>The D.C. Water &amp; Sewer Authority</w:t>
      </w:r>
      <w:r w:rsidR="006950F6" w:rsidRPr="00737801">
        <w:t xml:space="preserve"> shall</w:t>
      </w:r>
      <w:r w:rsidR="009467C8" w:rsidRPr="00737801">
        <w:t xml:space="preserve"> notify the Board of the posting</w:t>
      </w:r>
      <w:r w:rsidR="006950F6" w:rsidRPr="00737801">
        <w:t xml:space="preserve"> </w:t>
      </w:r>
      <w:r w:rsidR="009467C8" w:rsidRPr="00737801">
        <w:t xml:space="preserve">of the Notices </w:t>
      </w:r>
      <w:r w:rsidR="006950F6" w:rsidRPr="00737801">
        <w:t xml:space="preserve">within </w:t>
      </w:r>
      <w:r w:rsidRPr="00737801">
        <w:t xml:space="preserve">fourteen (14) </w:t>
      </w:r>
      <w:r w:rsidR="006950F6" w:rsidRPr="00737801">
        <w:t xml:space="preserve">days of the issuance of this </w:t>
      </w:r>
      <w:r w:rsidRPr="00737801">
        <w:t>Decision and Order</w:t>
      </w:r>
      <w:r w:rsidR="00345915" w:rsidRPr="00737801">
        <w:t>; and</w:t>
      </w:r>
    </w:p>
    <w:p w14:paraId="544AE402" w14:textId="77777777" w:rsidR="003E3F5C" w:rsidRPr="00737801" w:rsidRDefault="003E3F5C" w:rsidP="00880615">
      <w:pPr>
        <w:pStyle w:val="NoSpacing"/>
        <w:numPr>
          <w:ilvl w:val="0"/>
          <w:numId w:val="4"/>
        </w:numPr>
        <w:spacing w:after="200"/>
        <w:jc w:val="both"/>
      </w:pPr>
      <w:r w:rsidRPr="00737801">
        <w:t xml:space="preserve">Pursuant to Board Rule 559.1, this Decision and Order is final upon issuance. </w:t>
      </w:r>
    </w:p>
    <w:p w14:paraId="581A1337" w14:textId="77777777" w:rsidR="003E3F5C" w:rsidRPr="00737801" w:rsidRDefault="003E3F5C" w:rsidP="00880615">
      <w:pPr>
        <w:pStyle w:val="NoSpacing"/>
        <w:spacing w:after="200"/>
        <w:jc w:val="both"/>
      </w:pPr>
    </w:p>
    <w:p w14:paraId="7B6013CC" w14:textId="77777777" w:rsidR="003E3F5C" w:rsidRPr="00737801" w:rsidRDefault="003E3F5C" w:rsidP="00880615">
      <w:pPr>
        <w:pStyle w:val="NoSpacing"/>
        <w:spacing w:after="200"/>
        <w:jc w:val="both"/>
      </w:pPr>
      <w:r w:rsidRPr="00737801">
        <w:rPr>
          <w:b/>
          <w:bCs/>
        </w:rPr>
        <w:t>BY ORDER OF THE PUBLIC EMPLOYEE RELATIONS BOARD</w:t>
      </w:r>
    </w:p>
    <w:p w14:paraId="0B13E6C7" w14:textId="32F9EDE3" w:rsidR="00D356F6" w:rsidRPr="00737801" w:rsidRDefault="002968A8" w:rsidP="00880615">
      <w:pPr>
        <w:pStyle w:val="NoSpacing"/>
        <w:spacing w:after="200"/>
        <w:jc w:val="both"/>
      </w:pPr>
      <w:r>
        <w:t xml:space="preserve">By vote of Board Chairperson Douglas </w:t>
      </w:r>
      <w:proofErr w:type="spellStart"/>
      <w:r>
        <w:t>Warshof</w:t>
      </w:r>
      <w:proofErr w:type="spellEnd"/>
      <w:r>
        <w:t xml:space="preserve"> and Members Renee Bowser, Mary Anne Gibbons, and Peter Winkler.</w:t>
      </w:r>
    </w:p>
    <w:p w14:paraId="79835826" w14:textId="77777777" w:rsidR="007528F1" w:rsidRPr="00737801" w:rsidRDefault="007528F1" w:rsidP="00880615">
      <w:pPr>
        <w:pStyle w:val="NoSpacing"/>
        <w:spacing w:after="200"/>
        <w:jc w:val="both"/>
      </w:pPr>
    </w:p>
    <w:p w14:paraId="69067B4A" w14:textId="37A211E8" w:rsidR="003E3F5C" w:rsidRPr="00737801" w:rsidRDefault="007528F1" w:rsidP="00880615">
      <w:pPr>
        <w:pStyle w:val="NoSpacing"/>
        <w:spacing w:after="200"/>
        <w:jc w:val="both"/>
      </w:pPr>
      <w:r w:rsidRPr="00737801">
        <w:t>April 20, 2023</w:t>
      </w:r>
    </w:p>
    <w:p w14:paraId="7CD03883" w14:textId="7C75A103" w:rsidR="00130DD5" w:rsidRDefault="003E3F5C" w:rsidP="00880615">
      <w:pPr>
        <w:pStyle w:val="NoSpacing"/>
        <w:spacing w:after="200"/>
        <w:jc w:val="both"/>
      </w:pPr>
      <w:r w:rsidRPr="00737801">
        <w:rPr>
          <w:b/>
          <w:bCs/>
        </w:rPr>
        <w:t>Washington, D.C.</w:t>
      </w:r>
      <w:bookmarkEnd w:id="0"/>
    </w:p>
    <w:p w14:paraId="00522983" w14:textId="77777777" w:rsidR="001C74B1" w:rsidRDefault="001C74B1" w:rsidP="00880615">
      <w:pPr>
        <w:pStyle w:val="NoSpacing"/>
        <w:spacing w:after="200"/>
        <w:jc w:val="both"/>
        <w:sectPr w:rsidR="001C74B1" w:rsidSect="00AA214A">
          <w:headerReference w:type="default" r:id="rId11"/>
          <w:pgSz w:w="12240" w:h="15840" w:code="1"/>
          <w:pgMar w:top="1440" w:right="1440" w:bottom="1440" w:left="1440" w:header="720" w:footer="720" w:gutter="0"/>
          <w:cols w:space="720"/>
          <w:titlePg/>
          <w:docGrid w:linePitch="360"/>
        </w:sectPr>
      </w:pPr>
    </w:p>
    <w:p w14:paraId="5ABD916F" w14:textId="77777777" w:rsidR="00DB6199" w:rsidRDefault="00DB6199" w:rsidP="001C74B1">
      <w:pPr>
        <w:spacing w:after="0" w:line="240" w:lineRule="auto"/>
        <w:jc w:val="center"/>
        <w:rPr>
          <w:rFonts w:ascii="Castellar" w:hAnsi="Castellar"/>
          <w:sz w:val="96"/>
          <w:szCs w:val="96"/>
        </w:rPr>
      </w:pPr>
    </w:p>
    <w:p w14:paraId="3B732F9F" w14:textId="77777777" w:rsidR="00DB6199" w:rsidRDefault="00DB6199" w:rsidP="001C74B1">
      <w:pPr>
        <w:spacing w:after="0" w:line="240" w:lineRule="auto"/>
        <w:jc w:val="center"/>
        <w:rPr>
          <w:rFonts w:ascii="Castellar" w:hAnsi="Castellar"/>
          <w:sz w:val="96"/>
          <w:szCs w:val="96"/>
        </w:rPr>
      </w:pPr>
    </w:p>
    <w:p w14:paraId="326FB84C" w14:textId="77777777" w:rsidR="00DB6199" w:rsidRDefault="00DB6199" w:rsidP="001C74B1">
      <w:pPr>
        <w:spacing w:after="0" w:line="240" w:lineRule="auto"/>
        <w:jc w:val="center"/>
        <w:rPr>
          <w:rFonts w:ascii="Castellar" w:hAnsi="Castellar"/>
          <w:sz w:val="96"/>
          <w:szCs w:val="96"/>
        </w:rPr>
      </w:pPr>
    </w:p>
    <w:p w14:paraId="6819937E" w14:textId="77777777" w:rsidR="00DB6199" w:rsidRDefault="00DB6199" w:rsidP="001C74B1">
      <w:pPr>
        <w:spacing w:after="0" w:line="240" w:lineRule="auto"/>
        <w:jc w:val="center"/>
        <w:rPr>
          <w:rFonts w:ascii="Castellar" w:hAnsi="Castellar"/>
          <w:sz w:val="96"/>
          <w:szCs w:val="96"/>
        </w:rPr>
      </w:pPr>
    </w:p>
    <w:p w14:paraId="746C92B5" w14:textId="77777777" w:rsidR="00DB6199" w:rsidRDefault="00DB6199" w:rsidP="001C74B1">
      <w:pPr>
        <w:spacing w:after="0" w:line="240" w:lineRule="auto"/>
        <w:jc w:val="center"/>
        <w:rPr>
          <w:rFonts w:ascii="Castellar" w:hAnsi="Castellar"/>
          <w:sz w:val="96"/>
          <w:szCs w:val="96"/>
        </w:rPr>
      </w:pPr>
    </w:p>
    <w:p w14:paraId="770E5DF0" w14:textId="19148388" w:rsidR="00DB6199" w:rsidRPr="00DB6199" w:rsidRDefault="00DB6199" w:rsidP="001C74B1">
      <w:pPr>
        <w:spacing w:after="0" w:line="240" w:lineRule="auto"/>
        <w:jc w:val="center"/>
        <w:rPr>
          <w:sz w:val="48"/>
          <w:szCs w:val="48"/>
        </w:rPr>
      </w:pPr>
      <w:r>
        <w:rPr>
          <w:sz w:val="48"/>
          <w:szCs w:val="48"/>
        </w:rPr>
        <w:t>Appendix A</w:t>
      </w:r>
    </w:p>
    <w:p w14:paraId="385D0FA1" w14:textId="77777777" w:rsidR="00DB6199" w:rsidRDefault="00DB6199" w:rsidP="001C74B1">
      <w:pPr>
        <w:spacing w:after="0" w:line="240" w:lineRule="auto"/>
        <w:jc w:val="center"/>
        <w:rPr>
          <w:rFonts w:ascii="Castellar" w:hAnsi="Castellar"/>
          <w:sz w:val="96"/>
          <w:szCs w:val="96"/>
        </w:rPr>
      </w:pPr>
    </w:p>
    <w:p w14:paraId="17AEA4E2" w14:textId="77777777" w:rsidR="00DB6199" w:rsidRDefault="00DB6199" w:rsidP="001C74B1">
      <w:pPr>
        <w:spacing w:after="0" w:line="240" w:lineRule="auto"/>
        <w:jc w:val="center"/>
        <w:rPr>
          <w:rFonts w:ascii="Castellar" w:hAnsi="Castellar"/>
          <w:sz w:val="96"/>
          <w:szCs w:val="96"/>
        </w:rPr>
      </w:pPr>
    </w:p>
    <w:p w14:paraId="4B6F8647" w14:textId="77777777" w:rsidR="00DB6199" w:rsidRDefault="00DB6199" w:rsidP="001C74B1">
      <w:pPr>
        <w:spacing w:after="0" w:line="240" w:lineRule="auto"/>
        <w:jc w:val="center"/>
        <w:rPr>
          <w:rFonts w:ascii="Castellar" w:hAnsi="Castellar"/>
          <w:sz w:val="96"/>
          <w:szCs w:val="96"/>
        </w:rPr>
      </w:pPr>
    </w:p>
    <w:p w14:paraId="798BB997" w14:textId="77777777" w:rsidR="00DB6199" w:rsidRDefault="00DB6199" w:rsidP="001C74B1">
      <w:pPr>
        <w:spacing w:after="0" w:line="240" w:lineRule="auto"/>
        <w:jc w:val="center"/>
        <w:rPr>
          <w:rFonts w:ascii="Castellar" w:hAnsi="Castellar"/>
          <w:sz w:val="96"/>
          <w:szCs w:val="96"/>
        </w:rPr>
      </w:pPr>
    </w:p>
    <w:p w14:paraId="5C80A298" w14:textId="77777777" w:rsidR="00DB6199" w:rsidRDefault="00DB6199" w:rsidP="001C74B1">
      <w:pPr>
        <w:spacing w:after="0" w:line="240" w:lineRule="auto"/>
        <w:jc w:val="center"/>
        <w:rPr>
          <w:rFonts w:ascii="Castellar" w:hAnsi="Castellar"/>
          <w:sz w:val="96"/>
          <w:szCs w:val="96"/>
        </w:rPr>
      </w:pPr>
    </w:p>
    <w:p w14:paraId="39209BC1" w14:textId="77777777" w:rsidR="00DB6199" w:rsidRDefault="00DB6199" w:rsidP="001C74B1">
      <w:pPr>
        <w:spacing w:after="0" w:line="240" w:lineRule="auto"/>
        <w:jc w:val="center"/>
        <w:rPr>
          <w:rFonts w:ascii="Castellar" w:hAnsi="Castellar"/>
          <w:sz w:val="96"/>
          <w:szCs w:val="96"/>
        </w:rPr>
      </w:pPr>
    </w:p>
    <w:p w14:paraId="567D72D0" w14:textId="4DEA85EC" w:rsidR="001C74B1" w:rsidRPr="001C74B1" w:rsidRDefault="001C74B1" w:rsidP="001C74B1">
      <w:pPr>
        <w:spacing w:after="0" w:line="240" w:lineRule="auto"/>
        <w:jc w:val="center"/>
        <w:rPr>
          <w:rFonts w:ascii="Castellar" w:hAnsi="Castellar"/>
          <w:sz w:val="96"/>
          <w:szCs w:val="96"/>
        </w:rPr>
      </w:pPr>
      <w:r w:rsidRPr="001C74B1">
        <w:rPr>
          <w:rFonts w:ascii="Castellar" w:hAnsi="Castellar"/>
          <w:sz w:val="96"/>
          <w:szCs w:val="96"/>
        </w:rPr>
        <w:lastRenderedPageBreak/>
        <w:t>NOTICE</w:t>
      </w:r>
    </w:p>
    <w:p w14:paraId="25AA680F" w14:textId="77777777" w:rsidR="001C74B1" w:rsidRPr="001C74B1" w:rsidRDefault="001C74B1" w:rsidP="001C74B1">
      <w:pPr>
        <w:spacing w:after="120" w:line="240" w:lineRule="auto"/>
        <w:ind w:left="-180" w:right="-180"/>
        <w:jc w:val="both"/>
        <w:rPr>
          <w:sz w:val="24"/>
          <w:szCs w:val="24"/>
        </w:rPr>
      </w:pPr>
      <w:r w:rsidRPr="001C74B1">
        <w:rPr>
          <w:sz w:val="24"/>
          <w:szCs w:val="24"/>
        </w:rPr>
        <w:t>TO ALL EMPLOYEES AND LABOR ORGANIZATIONS ASSOCIATED WITH THE PERFORMANCE OF WORK AT THE DISTRICT OF COLUMBIA WATER AND SEWER AUTHORITY: THIS OFFICIAL NOTICE IS POSTED BY ORDER OF THE PUBLIC EMPLOYEE RELATIONS BOARD PURSUANT TO THE DECISION AND ORDER IN PERB CASE NO. 22-U-18.</w:t>
      </w:r>
    </w:p>
    <w:p w14:paraId="1566E0C4" w14:textId="77777777" w:rsidR="001C74B1" w:rsidRPr="001C74B1" w:rsidRDefault="001C74B1" w:rsidP="001C74B1">
      <w:pPr>
        <w:widowControl w:val="0"/>
        <w:autoSpaceDE w:val="0"/>
        <w:autoSpaceDN w:val="0"/>
        <w:spacing w:after="120" w:line="240" w:lineRule="auto"/>
        <w:ind w:left="-180" w:right="-180"/>
        <w:jc w:val="both"/>
        <w:rPr>
          <w:rFonts w:eastAsia="Times New Roman"/>
          <w:sz w:val="24"/>
          <w:szCs w:val="24"/>
        </w:rPr>
      </w:pPr>
      <w:r w:rsidRPr="001C74B1">
        <w:rPr>
          <w:rFonts w:eastAsia="Times New Roman"/>
          <w:sz w:val="24"/>
          <w:szCs w:val="24"/>
        </w:rPr>
        <w:t>The D.C. Public Employees Relations Board has found that we violated the Comprehensive Management Personnel Act and has ordered us to post, distribute, and obey this notice.</w:t>
      </w:r>
    </w:p>
    <w:p w14:paraId="26C98676" w14:textId="77777777" w:rsidR="001C74B1" w:rsidRPr="001C74B1" w:rsidRDefault="001C74B1" w:rsidP="001C74B1">
      <w:pPr>
        <w:widowControl w:val="0"/>
        <w:autoSpaceDE w:val="0"/>
        <w:autoSpaceDN w:val="0"/>
        <w:spacing w:before="159" w:after="120" w:line="240" w:lineRule="auto"/>
        <w:ind w:left="-180" w:right="-180"/>
        <w:jc w:val="both"/>
        <w:rPr>
          <w:rFonts w:eastAsia="Times New Roman"/>
          <w:sz w:val="24"/>
          <w:szCs w:val="24"/>
        </w:rPr>
      </w:pPr>
      <w:r w:rsidRPr="001C74B1">
        <w:rPr>
          <w:rFonts w:eastAsia="Times New Roman"/>
          <w:sz w:val="24"/>
          <w:szCs w:val="24"/>
        </w:rPr>
        <w:t>DISTRICT OF COLUMBIA LAW GIVES YOU THE RIGHT TO:</w:t>
      </w:r>
    </w:p>
    <w:p w14:paraId="1C382CBE" w14:textId="77777777" w:rsidR="001C74B1" w:rsidRPr="001C74B1" w:rsidRDefault="001C74B1" w:rsidP="001C74B1">
      <w:pPr>
        <w:widowControl w:val="0"/>
        <w:autoSpaceDE w:val="0"/>
        <w:autoSpaceDN w:val="0"/>
        <w:spacing w:before="181" w:after="120" w:line="240" w:lineRule="auto"/>
        <w:ind w:left="810" w:right="-187"/>
        <w:jc w:val="both"/>
        <w:rPr>
          <w:rFonts w:eastAsia="Times New Roman"/>
          <w:sz w:val="24"/>
          <w:szCs w:val="24"/>
        </w:rPr>
      </w:pPr>
      <w:r w:rsidRPr="001C74B1">
        <w:rPr>
          <w:rFonts w:eastAsia="Times New Roman"/>
          <w:sz w:val="24"/>
          <w:szCs w:val="24"/>
        </w:rPr>
        <w:t>Form, join, or assist a union.</w:t>
      </w:r>
    </w:p>
    <w:p w14:paraId="321940A1" w14:textId="77777777" w:rsidR="001C74B1" w:rsidRPr="001C74B1" w:rsidRDefault="001C74B1" w:rsidP="001C74B1">
      <w:pPr>
        <w:widowControl w:val="0"/>
        <w:autoSpaceDE w:val="0"/>
        <w:autoSpaceDN w:val="0"/>
        <w:spacing w:before="183" w:after="120" w:line="240" w:lineRule="auto"/>
        <w:ind w:left="810" w:right="-187"/>
        <w:jc w:val="both"/>
        <w:rPr>
          <w:rFonts w:eastAsia="Times New Roman"/>
          <w:sz w:val="24"/>
          <w:szCs w:val="24"/>
        </w:rPr>
      </w:pPr>
      <w:r w:rsidRPr="001C74B1">
        <w:rPr>
          <w:rFonts w:eastAsia="Times New Roman"/>
          <w:sz w:val="24"/>
          <w:szCs w:val="24"/>
        </w:rPr>
        <w:t>Choose a representative to bargain with us on your behalf.</w:t>
      </w:r>
    </w:p>
    <w:p w14:paraId="0DD11E88" w14:textId="77777777" w:rsidR="001C74B1" w:rsidRPr="001C74B1" w:rsidRDefault="001C74B1" w:rsidP="001C74B1">
      <w:pPr>
        <w:widowControl w:val="0"/>
        <w:autoSpaceDE w:val="0"/>
        <w:autoSpaceDN w:val="0"/>
        <w:spacing w:before="181" w:after="120" w:line="240" w:lineRule="auto"/>
        <w:ind w:left="810" w:right="-187"/>
        <w:jc w:val="both"/>
        <w:rPr>
          <w:rFonts w:eastAsia="Times New Roman"/>
          <w:sz w:val="24"/>
          <w:szCs w:val="24"/>
        </w:rPr>
      </w:pPr>
      <w:r w:rsidRPr="001C74B1">
        <w:rPr>
          <w:rFonts w:eastAsia="Times New Roman"/>
          <w:sz w:val="24"/>
          <w:szCs w:val="24"/>
        </w:rPr>
        <w:t>Act together with other employees for your benefit and protection.</w:t>
      </w:r>
    </w:p>
    <w:p w14:paraId="2A8D0A2B" w14:textId="77777777" w:rsidR="001C74B1" w:rsidRPr="001C74B1" w:rsidRDefault="001C74B1" w:rsidP="001C74B1">
      <w:pPr>
        <w:widowControl w:val="0"/>
        <w:autoSpaceDE w:val="0"/>
        <w:autoSpaceDN w:val="0"/>
        <w:spacing w:before="181" w:after="120" w:line="240" w:lineRule="auto"/>
        <w:ind w:left="810" w:right="-187"/>
        <w:jc w:val="both"/>
        <w:rPr>
          <w:rFonts w:eastAsia="Times New Roman"/>
          <w:sz w:val="24"/>
          <w:szCs w:val="24"/>
        </w:rPr>
      </w:pPr>
      <w:r w:rsidRPr="001C74B1">
        <w:rPr>
          <w:rFonts w:eastAsia="Times New Roman"/>
          <w:sz w:val="24"/>
          <w:szCs w:val="24"/>
        </w:rPr>
        <w:t>Choose not to engage in any of these protected rights.</w:t>
      </w:r>
    </w:p>
    <w:p w14:paraId="7FCBE763" w14:textId="77777777" w:rsidR="001C74B1" w:rsidRPr="001C74B1" w:rsidRDefault="001C74B1" w:rsidP="001C74B1">
      <w:pPr>
        <w:widowControl w:val="0"/>
        <w:autoSpaceDE w:val="0"/>
        <w:autoSpaceDN w:val="0"/>
        <w:spacing w:before="181" w:after="120" w:line="240" w:lineRule="auto"/>
        <w:ind w:left="-180" w:right="-180"/>
        <w:jc w:val="both"/>
        <w:rPr>
          <w:rFonts w:eastAsia="Times New Roman"/>
          <w:sz w:val="24"/>
          <w:szCs w:val="24"/>
        </w:rPr>
      </w:pPr>
      <w:r w:rsidRPr="001C74B1">
        <w:rPr>
          <w:rFonts w:eastAsia="Times New Roman"/>
          <w:sz w:val="24"/>
          <w:szCs w:val="24"/>
        </w:rPr>
        <w:t>WE WILL NOT refuse to bargain with AMERICAN FEDERATION OF GOVERNMENT EMPLOYEES, LOCALS 631 AND 872 AND NATIONAL ASSOCIATION OF GOVERNMENT EMPLOYEES, LOCAL R 3-06 (the Unions) for employees in bargaining units in which the Unions are the certified representative regarding the impact and effects of the Oracle payroll system on bargaining unit</w:t>
      </w:r>
      <w:r w:rsidRPr="001C74B1">
        <w:rPr>
          <w:rFonts w:eastAsia="Times New Roman"/>
          <w:spacing w:val="-7"/>
          <w:sz w:val="24"/>
          <w:szCs w:val="24"/>
        </w:rPr>
        <w:t xml:space="preserve"> </w:t>
      </w:r>
      <w:r w:rsidRPr="001C74B1">
        <w:rPr>
          <w:rFonts w:eastAsia="Times New Roman"/>
          <w:sz w:val="24"/>
          <w:szCs w:val="24"/>
        </w:rPr>
        <w:t>employees.</w:t>
      </w:r>
    </w:p>
    <w:p w14:paraId="4C78C404" w14:textId="77777777" w:rsidR="001C74B1" w:rsidRPr="001C74B1" w:rsidRDefault="001C74B1" w:rsidP="001C74B1">
      <w:pPr>
        <w:widowControl w:val="0"/>
        <w:autoSpaceDE w:val="0"/>
        <w:autoSpaceDN w:val="0"/>
        <w:spacing w:before="159" w:after="0" w:line="240" w:lineRule="auto"/>
        <w:ind w:left="-180" w:right="-180"/>
        <w:jc w:val="both"/>
        <w:rPr>
          <w:rFonts w:eastAsia="Times New Roman"/>
          <w:sz w:val="24"/>
          <w:szCs w:val="24"/>
        </w:rPr>
      </w:pPr>
      <w:r w:rsidRPr="001C74B1">
        <w:rPr>
          <w:rFonts w:eastAsia="Times New Roman"/>
          <w:sz w:val="24"/>
          <w:szCs w:val="24"/>
        </w:rPr>
        <w:t>WE WILL NOT implement changes in employment pertaining to the Oracle payroll system without fulfilling our bargaining obligation with the Unions.</w:t>
      </w:r>
    </w:p>
    <w:p w14:paraId="50049B74" w14:textId="77777777" w:rsidR="001C74B1" w:rsidRPr="001C74B1" w:rsidRDefault="001C74B1" w:rsidP="001C74B1">
      <w:pPr>
        <w:widowControl w:val="0"/>
        <w:autoSpaceDE w:val="0"/>
        <w:autoSpaceDN w:val="0"/>
        <w:spacing w:before="159" w:after="160" w:line="240" w:lineRule="auto"/>
        <w:ind w:left="-187" w:right="-187"/>
        <w:jc w:val="both"/>
        <w:rPr>
          <w:rFonts w:eastAsia="Times New Roman"/>
          <w:sz w:val="24"/>
          <w:szCs w:val="24"/>
        </w:rPr>
      </w:pPr>
      <w:r w:rsidRPr="001C74B1">
        <w:rPr>
          <w:rFonts w:eastAsia="Times New Roman"/>
          <w:sz w:val="24"/>
          <w:szCs w:val="24"/>
        </w:rPr>
        <w:t>WE WILL CEASE AND DESIST from refusing to bargain in good faith with the Unions concerning the implementation of the Oracle payroll system and its effects on bargaining unit employees.</w:t>
      </w:r>
    </w:p>
    <w:p w14:paraId="5BCC8E5A" w14:textId="77777777" w:rsidR="001C74B1" w:rsidRPr="001C74B1" w:rsidRDefault="001C74B1" w:rsidP="001C74B1">
      <w:pPr>
        <w:widowControl w:val="0"/>
        <w:autoSpaceDE w:val="0"/>
        <w:autoSpaceDN w:val="0"/>
        <w:spacing w:after="0" w:line="240" w:lineRule="auto"/>
        <w:ind w:left="-180" w:right="-180"/>
        <w:jc w:val="both"/>
        <w:rPr>
          <w:rFonts w:eastAsia="Times New Roman"/>
          <w:sz w:val="24"/>
          <w:szCs w:val="24"/>
        </w:rPr>
      </w:pPr>
      <w:r w:rsidRPr="001C74B1">
        <w:rPr>
          <w:rFonts w:eastAsia="Times New Roman"/>
          <w:sz w:val="24"/>
          <w:szCs w:val="24"/>
        </w:rPr>
        <w:t>WE WILL CEASE AND DESIST from implementing changes in employment pertaining to Oracle payroll system without fulfilling our bargaining obligation with the Unions.</w:t>
      </w:r>
    </w:p>
    <w:p w14:paraId="517DEB09" w14:textId="77777777" w:rsidR="001C74B1" w:rsidRPr="001C74B1" w:rsidRDefault="001C74B1" w:rsidP="001C74B1">
      <w:pPr>
        <w:widowControl w:val="0"/>
        <w:autoSpaceDE w:val="0"/>
        <w:autoSpaceDN w:val="0"/>
        <w:spacing w:before="160" w:after="0" w:line="240" w:lineRule="auto"/>
        <w:ind w:left="-180" w:right="-180"/>
        <w:jc w:val="both"/>
        <w:rPr>
          <w:rFonts w:eastAsia="Times New Roman"/>
          <w:sz w:val="24"/>
          <w:szCs w:val="24"/>
        </w:rPr>
      </w:pPr>
      <w:r w:rsidRPr="001C74B1">
        <w:rPr>
          <w:rFonts w:eastAsia="Times New Roman"/>
          <w:sz w:val="24"/>
          <w:szCs w:val="24"/>
        </w:rPr>
        <w:t>WE WILL NOT engage in any like or related conduct which interferes with, restrains, or coerces employees in their rights guaranteed under D.C. Code Sec. 1-617.04 (a)(1) and (a)(5).</w:t>
      </w:r>
    </w:p>
    <w:p w14:paraId="66AE9807" w14:textId="77777777" w:rsidR="001C74B1" w:rsidRPr="001C74B1" w:rsidRDefault="001C74B1" w:rsidP="001C74B1">
      <w:pPr>
        <w:widowControl w:val="0"/>
        <w:autoSpaceDE w:val="0"/>
        <w:autoSpaceDN w:val="0"/>
        <w:spacing w:before="160" w:after="0" w:line="240" w:lineRule="auto"/>
        <w:ind w:left="-180" w:right="-180"/>
        <w:jc w:val="both"/>
        <w:rPr>
          <w:rFonts w:eastAsia="Times New Roman"/>
          <w:sz w:val="24"/>
          <w:szCs w:val="24"/>
        </w:rPr>
      </w:pPr>
      <w:r w:rsidRPr="001C74B1">
        <w:rPr>
          <w:rFonts w:eastAsia="Times New Roman"/>
          <w:sz w:val="24"/>
          <w:szCs w:val="24"/>
        </w:rPr>
        <w:t>WE WILL bargain with the Unions forthwith in good faith, upon request, about the implementation of the Oracle payroll system and its effects on bargaining unit employees.</w:t>
      </w:r>
    </w:p>
    <w:p w14:paraId="530B23A0" w14:textId="77777777" w:rsidR="001C74B1" w:rsidRPr="001C74B1" w:rsidRDefault="001C74B1" w:rsidP="001C74B1">
      <w:pPr>
        <w:widowControl w:val="0"/>
        <w:tabs>
          <w:tab w:val="left" w:pos="6530"/>
        </w:tabs>
        <w:autoSpaceDE w:val="0"/>
        <w:autoSpaceDN w:val="0"/>
        <w:spacing w:before="158" w:after="0" w:line="240" w:lineRule="auto"/>
        <w:ind w:left="-180" w:right="-180"/>
        <w:jc w:val="both"/>
        <w:rPr>
          <w:rFonts w:eastAsia="Times New Roman"/>
          <w:sz w:val="24"/>
          <w:szCs w:val="24"/>
        </w:rPr>
      </w:pPr>
      <w:r w:rsidRPr="001C74B1">
        <w:rPr>
          <w:rFonts w:eastAsia="Times New Roman"/>
          <w:sz w:val="24"/>
          <w:szCs w:val="24"/>
        </w:rPr>
        <w:t>DISTRICT OF COLUMBIA, WATER</w:t>
      </w:r>
      <w:r w:rsidRPr="001C74B1">
        <w:rPr>
          <w:rFonts w:eastAsia="Times New Roman"/>
          <w:spacing w:val="-16"/>
          <w:sz w:val="24"/>
          <w:szCs w:val="24"/>
        </w:rPr>
        <w:t xml:space="preserve"> </w:t>
      </w:r>
      <w:r w:rsidRPr="001C74B1">
        <w:rPr>
          <w:rFonts w:eastAsia="Times New Roman"/>
          <w:sz w:val="24"/>
          <w:szCs w:val="24"/>
        </w:rPr>
        <w:t>AND</w:t>
      </w:r>
      <w:r w:rsidRPr="001C74B1">
        <w:rPr>
          <w:rFonts w:eastAsia="Times New Roman"/>
          <w:spacing w:val="-3"/>
          <w:sz w:val="24"/>
          <w:szCs w:val="24"/>
        </w:rPr>
        <w:t xml:space="preserve"> </w:t>
      </w:r>
      <w:r w:rsidRPr="001C74B1">
        <w:rPr>
          <w:rFonts w:eastAsia="Times New Roman"/>
          <w:sz w:val="24"/>
          <w:szCs w:val="24"/>
        </w:rPr>
        <w:t>SEWER AUTHORITY, Employer</w:t>
      </w:r>
    </w:p>
    <w:p w14:paraId="6D629E38" w14:textId="77777777" w:rsidR="001C74B1" w:rsidRPr="001C74B1" w:rsidRDefault="001C74B1" w:rsidP="001C74B1">
      <w:pPr>
        <w:widowControl w:val="0"/>
        <w:tabs>
          <w:tab w:val="left" w:pos="2859"/>
          <w:tab w:val="left" w:pos="7339"/>
        </w:tabs>
        <w:autoSpaceDE w:val="0"/>
        <w:autoSpaceDN w:val="0"/>
        <w:spacing w:before="181" w:after="0" w:line="240" w:lineRule="auto"/>
        <w:ind w:left="-180" w:right="-180"/>
        <w:jc w:val="both"/>
        <w:rPr>
          <w:rFonts w:eastAsia="Times New Roman"/>
          <w:sz w:val="24"/>
          <w:szCs w:val="24"/>
        </w:rPr>
      </w:pPr>
      <w:r w:rsidRPr="001C74B1">
        <w:rPr>
          <w:rFonts w:eastAsia="Times New Roman"/>
          <w:sz w:val="24"/>
          <w:szCs w:val="24"/>
        </w:rPr>
        <w:t>Date:</w:t>
      </w:r>
      <w:r w:rsidRPr="001C74B1">
        <w:rPr>
          <w:rFonts w:eastAsia="Times New Roman"/>
          <w:sz w:val="24"/>
          <w:szCs w:val="24"/>
          <w:u w:val="single"/>
        </w:rPr>
        <w:t xml:space="preserve"> </w:t>
      </w:r>
      <w:r w:rsidRPr="001C74B1">
        <w:rPr>
          <w:rFonts w:eastAsia="Times New Roman"/>
          <w:sz w:val="24"/>
          <w:szCs w:val="24"/>
          <w:u w:val="single"/>
        </w:rPr>
        <w:tab/>
      </w:r>
      <w:r w:rsidRPr="001C74B1">
        <w:rPr>
          <w:rFonts w:eastAsia="Times New Roman"/>
          <w:sz w:val="24"/>
          <w:szCs w:val="24"/>
        </w:rPr>
        <w:t>By</w:t>
      </w:r>
      <w:r w:rsidRPr="001C74B1">
        <w:rPr>
          <w:rFonts w:eastAsia="Times New Roman"/>
          <w:sz w:val="24"/>
          <w:szCs w:val="24"/>
          <w:u w:val="single"/>
        </w:rPr>
        <w:t xml:space="preserve"> </w:t>
      </w:r>
      <w:r w:rsidRPr="001C74B1">
        <w:rPr>
          <w:rFonts w:eastAsia="Times New Roman"/>
          <w:sz w:val="24"/>
          <w:szCs w:val="24"/>
          <w:u w:val="single"/>
        </w:rPr>
        <w:tab/>
      </w:r>
    </w:p>
    <w:p w14:paraId="7B5CB62A" w14:textId="77777777" w:rsidR="001C74B1" w:rsidRPr="001C74B1" w:rsidRDefault="001C74B1" w:rsidP="001C74B1">
      <w:pPr>
        <w:spacing w:before="182" w:after="120" w:line="240" w:lineRule="auto"/>
        <w:ind w:left="-187" w:right="-187"/>
        <w:jc w:val="both"/>
        <w:rPr>
          <w:b/>
          <w:sz w:val="24"/>
          <w:szCs w:val="22"/>
        </w:rPr>
      </w:pPr>
      <w:r w:rsidRPr="001C74B1">
        <w:rPr>
          <w:b/>
          <w:sz w:val="24"/>
          <w:szCs w:val="22"/>
        </w:rPr>
        <w:t>This Notice must remain posted for thirty (30) consecutive days from the date of posting and must not be altered, defaced, or covered by any other material.</w:t>
      </w:r>
    </w:p>
    <w:p w14:paraId="1550ECBE" w14:textId="77777777" w:rsidR="001C74B1" w:rsidRDefault="001C74B1" w:rsidP="001C74B1">
      <w:pPr>
        <w:spacing w:before="182" w:after="120" w:line="240" w:lineRule="auto"/>
        <w:ind w:left="-187" w:right="-187"/>
        <w:jc w:val="both"/>
        <w:rPr>
          <w:bCs/>
          <w:sz w:val="24"/>
          <w:szCs w:val="22"/>
        </w:rPr>
        <w:sectPr w:rsidR="001C74B1" w:rsidSect="00EA5020">
          <w:headerReference w:type="default" r:id="rId12"/>
          <w:footerReference w:type="default" r:id="rId13"/>
          <w:headerReference w:type="first" r:id="rId14"/>
          <w:footerReference w:type="first" r:id="rId15"/>
          <w:pgSz w:w="12240" w:h="15840"/>
          <w:pgMar w:top="720" w:right="1440" w:bottom="1440" w:left="1440" w:header="144" w:footer="144" w:gutter="0"/>
          <w:cols w:space="720"/>
          <w:titlePg/>
          <w:docGrid w:linePitch="360"/>
        </w:sectPr>
      </w:pPr>
      <w:r w:rsidRPr="001C74B1">
        <w:rPr>
          <w:bCs/>
          <w:sz w:val="24"/>
          <w:szCs w:val="22"/>
        </w:rPr>
        <w:t>If employees have any questions concerning this Notice or the Authority’s compliance with any of its provisions, they may communicate directly with the D.C. Public Employee Relations Board by U.S. Mail at 1100 4th Street, SW, Suite E630: Washington, D.C. 20024, or by phone at (202) 727-1822.</w:t>
      </w:r>
    </w:p>
    <w:p w14:paraId="1DCB505F" w14:textId="77777777" w:rsidR="00F74237" w:rsidRPr="003D4ECE" w:rsidRDefault="00F74237" w:rsidP="00F74237">
      <w:pPr>
        <w:tabs>
          <w:tab w:val="center" w:pos="4680"/>
        </w:tabs>
        <w:spacing w:after="0" w:line="240" w:lineRule="auto"/>
        <w:jc w:val="center"/>
        <w:rPr>
          <w:b/>
          <w:bCs/>
          <w:sz w:val="24"/>
          <w:szCs w:val="24"/>
          <w:u w:val="single"/>
        </w:rPr>
      </w:pPr>
      <w:bookmarkStart w:id="2" w:name="_Hlk119310665"/>
      <w:r w:rsidRPr="003D4ECE">
        <w:rPr>
          <w:b/>
          <w:bCs/>
          <w:sz w:val="24"/>
          <w:szCs w:val="24"/>
          <w:u w:val="single"/>
        </w:rPr>
        <w:lastRenderedPageBreak/>
        <w:t>APPEAL RIGHTS</w:t>
      </w:r>
    </w:p>
    <w:p w14:paraId="1BD706E2" w14:textId="77777777" w:rsidR="00F74237" w:rsidRPr="003D4ECE" w:rsidRDefault="00F74237" w:rsidP="00F74237">
      <w:pPr>
        <w:tabs>
          <w:tab w:val="center" w:pos="4680"/>
        </w:tabs>
        <w:spacing w:after="0" w:line="240" w:lineRule="auto"/>
        <w:jc w:val="both"/>
        <w:rPr>
          <w:sz w:val="24"/>
          <w:szCs w:val="24"/>
        </w:rPr>
      </w:pPr>
    </w:p>
    <w:p w14:paraId="232FD2B0" w14:textId="77777777" w:rsidR="00F74237" w:rsidRPr="003D4ECE" w:rsidRDefault="00F74237" w:rsidP="00F74237">
      <w:pPr>
        <w:tabs>
          <w:tab w:val="center" w:pos="4680"/>
        </w:tabs>
        <w:spacing w:after="0" w:line="240" w:lineRule="auto"/>
        <w:jc w:val="both"/>
        <w:rPr>
          <w:sz w:val="32"/>
          <w:szCs w:val="32"/>
        </w:rPr>
      </w:pPr>
      <w:r w:rsidRPr="003D4ECE">
        <w:rPr>
          <w:sz w:val="24"/>
          <w:szCs w:val="24"/>
        </w:rPr>
        <w:t>A final decision by the Board may be appealed to the District of Columbia Superior Court pursuant to D.C. Official Code §§ 1-605.2(12) and 1-617.13(c), which provides 30 days after a decision is issued to file an appeal.</w:t>
      </w:r>
    </w:p>
    <w:bookmarkEnd w:id="2"/>
    <w:p w14:paraId="4B80F7F1" w14:textId="77777777" w:rsidR="00130DD5" w:rsidRPr="00130DD5" w:rsidRDefault="00130DD5" w:rsidP="00880615">
      <w:pPr>
        <w:pStyle w:val="NoSpacing"/>
        <w:spacing w:after="200"/>
        <w:jc w:val="both"/>
      </w:pPr>
    </w:p>
    <w:sectPr w:rsidR="00130DD5" w:rsidRPr="00130DD5" w:rsidSect="00430782">
      <w:headerReference w:type="first" r:id="rId16"/>
      <w:footerReference w:type="first" r:id="rId17"/>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6D44E" w14:textId="77777777" w:rsidR="00EC30A6" w:rsidRDefault="00EC30A6" w:rsidP="006968A1">
      <w:pPr>
        <w:spacing w:after="0" w:line="240" w:lineRule="auto"/>
      </w:pPr>
      <w:r>
        <w:separator/>
      </w:r>
    </w:p>
  </w:endnote>
  <w:endnote w:type="continuationSeparator" w:id="0">
    <w:p w14:paraId="02970A2A" w14:textId="77777777" w:rsidR="00EC30A6" w:rsidRDefault="00EC30A6" w:rsidP="006968A1">
      <w:pPr>
        <w:spacing w:after="0" w:line="240" w:lineRule="auto"/>
      </w:pPr>
      <w:r>
        <w:continuationSeparator/>
      </w:r>
    </w:p>
  </w:endnote>
  <w:endnote w:type="continuationNotice" w:id="1">
    <w:p w14:paraId="438B402B" w14:textId="77777777" w:rsidR="00EC30A6" w:rsidRDefault="00EC30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stellar">
    <w:panose1 w:val="020A0402060406010301"/>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059A3" w14:textId="77777777" w:rsidR="0097125F" w:rsidRDefault="00C8261A">
    <w:pPr>
      <w:pStyle w:val="Footer"/>
    </w:pPr>
  </w:p>
  <w:p w14:paraId="702B802E" w14:textId="77777777" w:rsidR="0097125F" w:rsidRPr="00430782" w:rsidRDefault="009971AD" w:rsidP="0097125F">
    <w:pPr>
      <w:pStyle w:val="Footer"/>
      <w:jc w:val="center"/>
      <w:rPr>
        <w:rFonts w:ascii="Segoe UI" w:hAnsi="Segoe UI" w:cs="Segoe UI"/>
        <w:sz w:val="16"/>
        <w:szCs w:val="16"/>
      </w:rPr>
    </w:pPr>
    <w:r w:rsidRPr="00430782">
      <w:rPr>
        <w:rFonts w:ascii="Segoe UI" w:hAnsi="Segoe UI" w:cs="Segoe UI"/>
        <w:noProof/>
        <w:sz w:val="16"/>
        <w:szCs w:val="16"/>
      </w:rPr>
      <mc:AlternateContent>
        <mc:Choice Requires="wps">
          <w:drawing>
            <wp:anchor distT="0" distB="0" distL="114300" distR="114300" simplePos="0" relativeHeight="251660288" behindDoc="0" locked="0" layoutInCell="1" allowOverlap="1" wp14:anchorId="2AB19AB5" wp14:editId="7A88E7B2">
              <wp:simplePos x="0" y="0"/>
              <wp:positionH relativeFrom="column">
                <wp:posOffset>-204089</wp:posOffset>
              </wp:positionH>
              <wp:positionV relativeFrom="paragraph">
                <wp:posOffset>-84633</wp:posOffset>
              </wp:positionV>
              <wp:extent cx="6313018" cy="0"/>
              <wp:effectExtent l="38100" t="38100" r="69215" b="95250"/>
              <wp:wrapNone/>
              <wp:docPr id="5" name="Straight Connector 5"/>
              <wp:cNvGraphicFramePr/>
              <a:graphic xmlns:a="http://schemas.openxmlformats.org/drawingml/2006/main">
                <a:graphicData uri="http://schemas.microsoft.com/office/word/2010/wordprocessingShape">
                  <wps:wsp>
                    <wps:cNvCnPr/>
                    <wps:spPr>
                      <a:xfrm>
                        <a:off x="0" y="0"/>
                        <a:ext cx="6313018" cy="0"/>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7B84A2EB"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05pt,-6.65pt" to="481.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" strokecolor="#c0504d" strokeweight="2pt">
              <v:shadow on="t" color="black" opacity="24903f" origin=",.5" offset="0,.55556mm"/>
            </v:line>
          </w:pict>
        </mc:Fallback>
      </mc:AlternateContent>
    </w:r>
    <w:r w:rsidRPr="00430782">
      <w:rPr>
        <w:rFonts w:ascii="Segoe UI" w:hAnsi="Segoe UI" w:cs="Segoe UI"/>
        <w:sz w:val="16"/>
        <w:szCs w:val="16"/>
      </w:rPr>
      <w:t xml:space="preserve">1100 Fourth Street, SW, Suite E630, Washington, D.C. 20024 </w:t>
    </w:r>
    <w:r>
      <w:rPr>
        <w:rFonts w:ascii="Segoe UI" w:hAnsi="Segoe UI" w:cs="Segoe UI"/>
        <w:sz w:val="16"/>
        <w:szCs w:val="16"/>
      </w:rPr>
      <w:t>•</w:t>
    </w:r>
    <w:r w:rsidRPr="00430782">
      <w:rPr>
        <w:rFonts w:ascii="Segoe UI" w:hAnsi="Segoe UI" w:cs="Segoe UI"/>
        <w:sz w:val="16"/>
        <w:szCs w:val="16"/>
      </w:rPr>
      <w:t xml:space="preserve"> Telephone: (202) 727-1822</w:t>
    </w:r>
  </w:p>
  <w:p w14:paraId="4FE146DE" w14:textId="77777777" w:rsidR="0097125F" w:rsidRPr="00430782" w:rsidRDefault="009971AD" w:rsidP="0097125F">
    <w:pPr>
      <w:pStyle w:val="Footer"/>
      <w:jc w:val="center"/>
      <w:rPr>
        <w:rFonts w:ascii="Segoe UI" w:hAnsi="Segoe UI" w:cs="Segoe UI"/>
        <w:sz w:val="16"/>
        <w:szCs w:val="16"/>
      </w:rPr>
    </w:pPr>
    <w:r w:rsidRPr="00430782">
      <w:rPr>
        <w:rFonts w:ascii="Segoe UI" w:hAnsi="Segoe UI" w:cs="Segoe UI"/>
        <w:sz w:val="16"/>
        <w:szCs w:val="16"/>
      </w:rPr>
      <w:t xml:space="preserve">Fax: (202) 727-9116 </w:t>
    </w:r>
    <w:r>
      <w:rPr>
        <w:rFonts w:ascii="Segoe UI" w:hAnsi="Segoe UI" w:cs="Segoe UI"/>
        <w:sz w:val="16"/>
        <w:szCs w:val="16"/>
      </w:rPr>
      <w:t>•</w:t>
    </w:r>
    <w:r w:rsidRPr="00430782">
      <w:rPr>
        <w:rFonts w:ascii="Segoe UI" w:hAnsi="Segoe UI" w:cs="Segoe UI"/>
        <w:sz w:val="16"/>
        <w:szCs w:val="16"/>
      </w:rPr>
      <w:t xml:space="preserve"> Email: </w:t>
    </w:r>
    <w:hyperlink r:id="rId1" w:history="1">
      <w:r w:rsidRPr="00430782">
        <w:rPr>
          <w:rStyle w:val="Hyperlink1"/>
          <w:rFonts w:ascii="Segoe UI" w:hAnsi="Segoe UI" w:cs="Segoe UI"/>
          <w:sz w:val="16"/>
          <w:szCs w:val="16"/>
        </w:rPr>
        <w:t>perb@dc.gov</w:t>
      </w:r>
    </w:hyperlink>
    <w:r w:rsidRPr="00430782">
      <w:rPr>
        <w:rFonts w:ascii="Segoe UI" w:hAnsi="Segoe UI" w:cs="Segoe UI"/>
        <w:sz w:val="16"/>
        <w:szCs w:val="16"/>
      </w:rPr>
      <w:t xml:space="preserve"> </w:t>
    </w:r>
    <w:r>
      <w:rPr>
        <w:rFonts w:ascii="Segoe UI" w:hAnsi="Segoe UI" w:cs="Segoe UI"/>
        <w:sz w:val="16"/>
        <w:szCs w:val="16"/>
      </w:rPr>
      <w:t>•</w:t>
    </w:r>
    <w:r w:rsidRPr="00430782">
      <w:rPr>
        <w:rFonts w:ascii="Segoe UI" w:hAnsi="Segoe UI" w:cs="Segoe UI"/>
        <w:sz w:val="16"/>
        <w:szCs w:val="16"/>
      </w:rPr>
      <w:t xml:space="preserve"> Website: perb.dc.gov</w:t>
    </w:r>
  </w:p>
  <w:p w14:paraId="10688AB1" w14:textId="77777777" w:rsidR="0097125F" w:rsidRDefault="00C826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8AF9" w14:textId="76D8E493" w:rsidR="00430782" w:rsidRPr="00430782" w:rsidRDefault="00C8261A" w:rsidP="00430782">
    <w:pPr>
      <w:pStyle w:val="Footer"/>
      <w:jc w:val="center"/>
      <w:rPr>
        <w:rFonts w:ascii="Segoe UI" w:hAnsi="Segoe UI" w:cs="Segoe U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D9B1" w14:textId="03BA58E4" w:rsidR="00F74237" w:rsidRPr="00430782" w:rsidRDefault="00F74237" w:rsidP="00430782">
    <w:pPr>
      <w:pStyle w:val="Footer"/>
      <w:jc w:val="center"/>
      <w:rPr>
        <w:rFonts w:ascii="Segoe UI" w:hAnsi="Segoe UI" w:cs="Segoe U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8BEF8" w14:textId="77777777" w:rsidR="00EC30A6" w:rsidRDefault="00EC30A6" w:rsidP="006968A1">
      <w:pPr>
        <w:spacing w:after="0" w:line="240" w:lineRule="auto"/>
      </w:pPr>
      <w:r>
        <w:separator/>
      </w:r>
    </w:p>
  </w:footnote>
  <w:footnote w:type="continuationSeparator" w:id="0">
    <w:p w14:paraId="5BDDB6C1" w14:textId="77777777" w:rsidR="00EC30A6" w:rsidRDefault="00EC30A6" w:rsidP="006968A1">
      <w:pPr>
        <w:spacing w:after="0" w:line="240" w:lineRule="auto"/>
      </w:pPr>
      <w:r>
        <w:continuationSeparator/>
      </w:r>
    </w:p>
  </w:footnote>
  <w:footnote w:type="continuationNotice" w:id="1">
    <w:p w14:paraId="4ADF2D57" w14:textId="77777777" w:rsidR="00EC30A6" w:rsidRDefault="00EC30A6">
      <w:pPr>
        <w:spacing w:after="0" w:line="240" w:lineRule="auto"/>
      </w:pPr>
    </w:p>
  </w:footnote>
  <w:footnote w:id="2">
    <w:p w14:paraId="09A077CA" w14:textId="3E275F8C" w:rsidR="00317801" w:rsidRPr="00EA5020" w:rsidRDefault="00317801" w:rsidP="004C1F46">
      <w:pPr>
        <w:pStyle w:val="FootnoteText"/>
        <w:jc w:val="both"/>
      </w:pPr>
      <w:r w:rsidRPr="00EA5020">
        <w:rPr>
          <w:rStyle w:val="FootnoteReference"/>
        </w:rPr>
        <w:footnoteRef/>
      </w:r>
      <w:r w:rsidRPr="00EA5020">
        <w:t xml:space="preserve"> </w:t>
      </w:r>
      <w:r w:rsidR="00C86EEC" w:rsidRPr="00EA5020">
        <w:t xml:space="preserve">D.C. Official Code </w:t>
      </w:r>
      <w:r w:rsidR="00321304" w:rsidRPr="00EA5020">
        <w:t>§§ 1-617.04(a)(1), (3), and (5)</w:t>
      </w:r>
      <w:r w:rsidR="00C87AF4" w:rsidRPr="00EA5020">
        <w:t>.</w:t>
      </w:r>
    </w:p>
  </w:footnote>
  <w:footnote w:id="3">
    <w:p w14:paraId="6BF1E23B" w14:textId="68F3AEEE" w:rsidR="007E53A1" w:rsidRPr="00EA5020" w:rsidRDefault="007E53A1">
      <w:pPr>
        <w:pStyle w:val="FootnoteText"/>
      </w:pPr>
      <w:r w:rsidRPr="00EA5020">
        <w:rPr>
          <w:rStyle w:val="FootnoteReference"/>
        </w:rPr>
        <w:footnoteRef/>
      </w:r>
      <w:r w:rsidRPr="00EA5020">
        <w:t xml:space="preserve"> Complaint at 1.</w:t>
      </w:r>
      <w:r w:rsidR="00C87AF4" w:rsidRPr="00EA5020">
        <w:t xml:space="preserve">  The Complaint included a request for preliminary relief, which the Board denied on August 16, 2022.</w:t>
      </w:r>
    </w:p>
  </w:footnote>
  <w:footnote w:id="4">
    <w:p w14:paraId="76E763FA" w14:textId="43FCC0D6" w:rsidR="007E53A1" w:rsidRPr="00EA5020" w:rsidRDefault="007E53A1" w:rsidP="0068484B">
      <w:pPr>
        <w:pStyle w:val="FootnoteText"/>
        <w:jc w:val="both"/>
      </w:pPr>
      <w:r w:rsidRPr="00EA5020">
        <w:rPr>
          <w:rStyle w:val="FootnoteReference"/>
        </w:rPr>
        <w:footnoteRef/>
      </w:r>
      <w:r w:rsidRPr="00EA5020">
        <w:t xml:space="preserve"> </w:t>
      </w:r>
      <w:r w:rsidR="005D28F0" w:rsidRPr="00EA5020">
        <w:t xml:space="preserve">Complaint at 1. </w:t>
      </w:r>
    </w:p>
  </w:footnote>
  <w:footnote w:id="5">
    <w:p w14:paraId="3B0510A2" w14:textId="0288160C" w:rsidR="00E972BA" w:rsidRPr="00EA5020" w:rsidRDefault="00E972BA" w:rsidP="0068484B">
      <w:pPr>
        <w:pStyle w:val="FootnoteText"/>
        <w:jc w:val="both"/>
      </w:pPr>
      <w:r w:rsidRPr="00EA5020">
        <w:rPr>
          <w:rStyle w:val="FootnoteReference"/>
        </w:rPr>
        <w:footnoteRef/>
      </w:r>
      <w:r w:rsidRPr="00EA5020">
        <w:t xml:space="preserve"> Hearing Examiner’s Report and Recommendations at 3. </w:t>
      </w:r>
    </w:p>
  </w:footnote>
  <w:footnote w:id="6">
    <w:p w14:paraId="6AC5D91A" w14:textId="2F94FD0D" w:rsidR="00281A5E" w:rsidRPr="00EA5020" w:rsidRDefault="00281A5E" w:rsidP="0068484B">
      <w:pPr>
        <w:pStyle w:val="FootnoteText"/>
        <w:jc w:val="both"/>
      </w:pPr>
      <w:r w:rsidRPr="00EA5020">
        <w:rPr>
          <w:rStyle w:val="FootnoteReference"/>
        </w:rPr>
        <w:footnoteRef/>
      </w:r>
      <w:r w:rsidRPr="00EA5020">
        <w:t xml:space="preserve"> </w:t>
      </w:r>
      <w:r w:rsidR="005D28F0" w:rsidRPr="00EA5020">
        <w:t>Report at 3.</w:t>
      </w:r>
    </w:p>
  </w:footnote>
  <w:footnote w:id="7">
    <w:p w14:paraId="2B1002A4" w14:textId="1543E670" w:rsidR="00B75225" w:rsidRPr="00EA5020" w:rsidRDefault="00B75225" w:rsidP="0068484B">
      <w:pPr>
        <w:pStyle w:val="FootnoteText"/>
        <w:jc w:val="both"/>
      </w:pPr>
      <w:r w:rsidRPr="00EA5020">
        <w:rPr>
          <w:rStyle w:val="FootnoteReference"/>
        </w:rPr>
        <w:footnoteRef/>
      </w:r>
      <w:r w:rsidRPr="00EA5020">
        <w:t xml:space="preserve"> </w:t>
      </w:r>
      <w:r w:rsidR="005D28F0" w:rsidRPr="00EA5020">
        <w:t>Report at 3.</w:t>
      </w:r>
    </w:p>
  </w:footnote>
  <w:footnote w:id="8">
    <w:p w14:paraId="22B1884A" w14:textId="7CF91754" w:rsidR="00334ED2" w:rsidRPr="00EA5020" w:rsidRDefault="00334ED2" w:rsidP="0068484B">
      <w:pPr>
        <w:pStyle w:val="FootnoteText"/>
        <w:jc w:val="both"/>
      </w:pPr>
      <w:r w:rsidRPr="00EA5020">
        <w:rPr>
          <w:rStyle w:val="FootnoteReference"/>
        </w:rPr>
        <w:footnoteRef/>
      </w:r>
      <w:r w:rsidRPr="00EA5020">
        <w:t xml:space="preserve"> </w:t>
      </w:r>
      <w:r w:rsidR="005D28F0" w:rsidRPr="00EA5020">
        <w:t xml:space="preserve">Report at </w:t>
      </w:r>
      <w:r w:rsidR="00AE785F" w:rsidRPr="00EA5020">
        <w:t>7, 8</w:t>
      </w:r>
      <w:r w:rsidR="005D28F0" w:rsidRPr="00EA5020">
        <w:t xml:space="preserve">. </w:t>
      </w:r>
    </w:p>
  </w:footnote>
  <w:footnote w:id="9">
    <w:p w14:paraId="627E8747" w14:textId="76849B46" w:rsidR="006A6E84" w:rsidRPr="00EA5020" w:rsidRDefault="006A6E84">
      <w:pPr>
        <w:pStyle w:val="FootnoteText"/>
      </w:pPr>
      <w:r w:rsidRPr="00EA5020">
        <w:rPr>
          <w:rStyle w:val="FootnoteReference"/>
        </w:rPr>
        <w:footnoteRef/>
      </w:r>
      <w:r w:rsidRPr="00EA5020">
        <w:t xml:space="preserve"> Report at 4.  The Unions also identified potential issues with Oracle and expressed concerns regarding Oracle training for employees and WASA’s alleged withholding of critical information about the new payroll system.</w:t>
      </w:r>
    </w:p>
  </w:footnote>
  <w:footnote w:id="10">
    <w:p w14:paraId="7827E626" w14:textId="38A1D566" w:rsidR="007B23A3" w:rsidRPr="00EA5020" w:rsidRDefault="007B23A3">
      <w:pPr>
        <w:pStyle w:val="FootnoteText"/>
      </w:pPr>
      <w:r w:rsidRPr="00EA5020">
        <w:rPr>
          <w:rStyle w:val="FootnoteReference"/>
        </w:rPr>
        <w:footnoteRef/>
      </w:r>
      <w:r w:rsidRPr="00EA5020">
        <w:t xml:space="preserve"> </w:t>
      </w:r>
      <w:r w:rsidR="00FF6823" w:rsidRPr="00EA5020">
        <w:t xml:space="preserve">Report at 4. </w:t>
      </w:r>
    </w:p>
  </w:footnote>
  <w:footnote w:id="11">
    <w:p w14:paraId="291E9DA9" w14:textId="5269BDBF" w:rsidR="00E34B83" w:rsidRPr="00EA5020" w:rsidRDefault="00E34B83" w:rsidP="00E34B83">
      <w:pPr>
        <w:pStyle w:val="FootnoteText"/>
      </w:pPr>
      <w:r w:rsidRPr="00EA5020">
        <w:rPr>
          <w:rStyle w:val="FootnoteReference"/>
        </w:rPr>
        <w:footnoteRef/>
      </w:r>
      <w:r w:rsidRPr="00EA5020">
        <w:t xml:space="preserve"> </w:t>
      </w:r>
      <w:r w:rsidR="00C456AB" w:rsidRPr="00EA5020">
        <w:t>Report at 3 (c</w:t>
      </w:r>
      <w:r w:rsidRPr="00EA5020">
        <w:t>iting Agency Ex. 2.</w:t>
      </w:r>
      <w:r w:rsidR="00C456AB" w:rsidRPr="00EA5020">
        <w:t>).</w:t>
      </w:r>
    </w:p>
  </w:footnote>
  <w:footnote w:id="12">
    <w:p w14:paraId="6B9D794B" w14:textId="77777777" w:rsidR="00061E3D" w:rsidRPr="00EA5020" w:rsidRDefault="00061E3D" w:rsidP="00061E3D">
      <w:pPr>
        <w:pStyle w:val="FootnoteText"/>
      </w:pPr>
      <w:r w:rsidRPr="00EA5020">
        <w:rPr>
          <w:rStyle w:val="FootnoteReference"/>
        </w:rPr>
        <w:footnoteRef/>
      </w:r>
      <w:r w:rsidRPr="00EA5020">
        <w:t xml:space="preserve"> Report at 4.  </w:t>
      </w:r>
    </w:p>
  </w:footnote>
  <w:footnote w:id="13">
    <w:p w14:paraId="10753FAC" w14:textId="203EF688" w:rsidR="00061E3D" w:rsidRPr="00EA5020" w:rsidRDefault="00061E3D" w:rsidP="00061E3D">
      <w:pPr>
        <w:pStyle w:val="FootnoteText"/>
      </w:pPr>
      <w:r w:rsidRPr="00EA5020">
        <w:rPr>
          <w:rStyle w:val="FootnoteReference"/>
        </w:rPr>
        <w:footnoteRef/>
      </w:r>
      <w:r w:rsidRPr="00EA5020">
        <w:t xml:space="preserve"> Report at 4. </w:t>
      </w:r>
      <w:r w:rsidR="00195A05" w:rsidRPr="00EA5020">
        <w:t xml:space="preserve"> </w:t>
      </w:r>
      <w:r w:rsidR="007B23A3" w:rsidRPr="00EA5020">
        <w:t xml:space="preserve">The proposal comprised nineteen (19) numbered paragraphs </w:t>
      </w:r>
      <w:r w:rsidR="006A0A66" w:rsidRPr="00EA5020">
        <w:t>requesting</w:t>
      </w:r>
      <w:r w:rsidR="007B23A3" w:rsidRPr="00EA5020">
        <w:t xml:space="preserve">: (1) </w:t>
      </w:r>
      <w:r w:rsidR="006A0A66" w:rsidRPr="00EA5020">
        <w:t>that WASA provide</w:t>
      </w:r>
      <w:r w:rsidR="007B23A3" w:rsidRPr="00EA5020">
        <w:t xml:space="preserve"> the Unions written notice and the opportunity to bargain over changes to the Oracle payroll system prior to implementation; (2) </w:t>
      </w:r>
      <w:r w:rsidR="006A0A66" w:rsidRPr="00EA5020">
        <w:t>that the Oracle system include information on</w:t>
      </w:r>
      <w:r w:rsidR="007B23A3" w:rsidRPr="00EA5020">
        <w:t xml:space="preserve"> employee wage, benefit and payroll history; and (3) </w:t>
      </w:r>
      <w:r w:rsidR="006A0A66" w:rsidRPr="00EA5020">
        <w:t xml:space="preserve">that WASA agree to the Unions’ requests </w:t>
      </w:r>
      <w:r w:rsidR="007B23A3" w:rsidRPr="00EA5020">
        <w:t xml:space="preserve">on overtime and report generation authorizations for timekeepers, access to the Oracle mobile application for teleworkers, continuing methods for reporting corrections and errors, tax deductions, time rounding practices, timeframes for correcting payroll errors, the provision of training for bargaining unit employees, automatic shift splitting for shifts that span over multiple days, and employees’ ability to choose between overtime pay or compensatory time.  Union Ex. 6.  </w:t>
      </w:r>
      <w:r w:rsidR="00195A05" w:rsidRPr="00EA5020">
        <w:t>The proposal included the above-captioned union parties and AFSCME, Local 2091</w:t>
      </w:r>
      <w:r w:rsidR="00AB51C6" w:rsidRPr="00EA5020">
        <w:t xml:space="preserve">.  </w:t>
      </w:r>
      <w:r w:rsidR="00C456AB" w:rsidRPr="00EA5020">
        <w:t>Union Ex. 6.</w:t>
      </w:r>
      <w:r w:rsidR="00AB51C6" w:rsidRPr="00EA5020">
        <w:rPr>
          <w:i/>
          <w:iCs/>
        </w:rPr>
        <w:t xml:space="preserve"> </w:t>
      </w:r>
      <w:r w:rsidR="00C456AB" w:rsidRPr="00EA5020">
        <w:rPr>
          <w:i/>
          <w:iCs/>
        </w:rPr>
        <w:t xml:space="preserve"> </w:t>
      </w:r>
      <w:r w:rsidR="00AB51C6" w:rsidRPr="00EA5020">
        <w:t>AFSCME, Local 2091, did not join in this Complaint against WASA.</w:t>
      </w:r>
    </w:p>
  </w:footnote>
  <w:footnote w:id="14">
    <w:p w14:paraId="78479F69" w14:textId="6C6531C4" w:rsidR="00055323" w:rsidRPr="00EA5020" w:rsidRDefault="00055323" w:rsidP="00055323">
      <w:pPr>
        <w:pStyle w:val="FootnoteText"/>
      </w:pPr>
      <w:r w:rsidRPr="00EA5020">
        <w:rPr>
          <w:rStyle w:val="FootnoteReference"/>
        </w:rPr>
        <w:footnoteRef/>
      </w:r>
      <w:r w:rsidRPr="00EA5020">
        <w:t xml:space="preserve"> </w:t>
      </w:r>
      <w:r w:rsidR="00AD6491" w:rsidRPr="00EA5020">
        <w:t>Report at 5.</w:t>
      </w:r>
      <w:r w:rsidRPr="00EA5020">
        <w:t xml:space="preserve"> </w:t>
      </w:r>
    </w:p>
  </w:footnote>
  <w:footnote w:id="15">
    <w:p w14:paraId="7D3A57F3" w14:textId="50E69885" w:rsidR="009F3CE8" w:rsidRPr="00EA5020" w:rsidRDefault="009F3CE8">
      <w:pPr>
        <w:pStyle w:val="FootnoteText"/>
      </w:pPr>
      <w:r w:rsidRPr="00EA5020">
        <w:rPr>
          <w:rStyle w:val="FootnoteReference"/>
        </w:rPr>
        <w:footnoteRef/>
      </w:r>
      <w:r w:rsidRPr="00EA5020">
        <w:t xml:space="preserve"> </w:t>
      </w:r>
      <w:r w:rsidR="00C456AB" w:rsidRPr="00EA5020">
        <w:t xml:space="preserve">Report at 5. </w:t>
      </w:r>
    </w:p>
  </w:footnote>
  <w:footnote w:id="16">
    <w:p w14:paraId="5F9973C7" w14:textId="4DB0ACBF" w:rsidR="00C87AF4" w:rsidRPr="00EA5020" w:rsidRDefault="00C87AF4">
      <w:pPr>
        <w:pStyle w:val="FootnoteText"/>
      </w:pPr>
      <w:r w:rsidRPr="00EA5020">
        <w:rPr>
          <w:rStyle w:val="FootnoteReference"/>
        </w:rPr>
        <w:footnoteRef/>
      </w:r>
      <w:r w:rsidR="001F7AA6" w:rsidRPr="00EA5020">
        <w:t xml:space="preserve"> Report at 5.</w:t>
      </w:r>
    </w:p>
  </w:footnote>
  <w:footnote w:id="17">
    <w:p w14:paraId="128B8E0C" w14:textId="738CC484" w:rsidR="00F005FD" w:rsidRPr="00EA5020" w:rsidRDefault="00F005FD">
      <w:pPr>
        <w:pStyle w:val="FootnoteText"/>
      </w:pPr>
      <w:r w:rsidRPr="00EA5020">
        <w:rPr>
          <w:rStyle w:val="FootnoteReference"/>
        </w:rPr>
        <w:footnoteRef/>
      </w:r>
      <w:r w:rsidRPr="00EA5020">
        <w:t xml:space="preserve"> </w:t>
      </w:r>
      <w:r w:rsidR="001F7AA6" w:rsidRPr="00EA5020">
        <w:t>Report at 7.</w:t>
      </w:r>
    </w:p>
  </w:footnote>
  <w:footnote w:id="18">
    <w:p w14:paraId="52FADE2B" w14:textId="35DDE13B" w:rsidR="00746D2A" w:rsidRPr="00EA5020" w:rsidRDefault="00746D2A">
      <w:pPr>
        <w:pStyle w:val="FootnoteText"/>
      </w:pPr>
      <w:r w:rsidRPr="00EA5020">
        <w:rPr>
          <w:rStyle w:val="FootnoteReference"/>
        </w:rPr>
        <w:footnoteRef/>
      </w:r>
      <w:r w:rsidRPr="00EA5020">
        <w:t xml:space="preserve"> Report at 5.</w:t>
      </w:r>
    </w:p>
  </w:footnote>
  <w:footnote w:id="19">
    <w:p w14:paraId="1DCCA08A" w14:textId="28933A09" w:rsidR="008218D7" w:rsidRPr="00EA5020" w:rsidRDefault="008218D7">
      <w:pPr>
        <w:pStyle w:val="FootnoteText"/>
      </w:pPr>
      <w:r w:rsidRPr="00EA5020">
        <w:rPr>
          <w:rStyle w:val="FootnoteReference"/>
        </w:rPr>
        <w:footnoteRef/>
      </w:r>
      <w:r w:rsidRPr="00EA5020">
        <w:t xml:space="preserve"> </w:t>
      </w:r>
      <w:r w:rsidR="001F7AA6" w:rsidRPr="00EA5020">
        <w:t>Report at 9.</w:t>
      </w:r>
    </w:p>
  </w:footnote>
  <w:footnote w:id="20">
    <w:p w14:paraId="3244D86E" w14:textId="71F8F9B4" w:rsidR="00573850" w:rsidRPr="00EA5020" w:rsidRDefault="00573850" w:rsidP="00573850">
      <w:pPr>
        <w:pStyle w:val="FootnoteText"/>
      </w:pPr>
      <w:r w:rsidRPr="00EA5020">
        <w:rPr>
          <w:rStyle w:val="FootnoteReference"/>
        </w:rPr>
        <w:footnoteRef/>
      </w:r>
      <w:r w:rsidRPr="00EA5020">
        <w:t xml:space="preserve"> </w:t>
      </w:r>
      <w:r w:rsidR="001F7AA6" w:rsidRPr="00EA5020">
        <w:t>Report at 4.</w:t>
      </w:r>
      <w:r w:rsidR="00055323" w:rsidRPr="00EA5020">
        <w:t xml:space="preserve"> </w:t>
      </w:r>
      <w:r w:rsidRPr="00EA5020">
        <w:t xml:space="preserve"> </w:t>
      </w:r>
    </w:p>
  </w:footnote>
  <w:footnote w:id="21">
    <w:p w14:paraId="162FB441" w14:textId="2B51DBC2" w:rsidR="00573850" w:rsidRPr="00EA5020" w:rsidRDefault="00573850" w:rsidP="00573850">
      <w:pPr>
        <w:pStyle w:val="FootnoteText"/>
      </w:pPr>
      <w:r w:rsidRPr="00EA5020">
        <w:rPr>
          <w:rStyle w:val="FootnoteReference"/>
        </w:rPr>
        <w:footnoteRef/>
      </w:r>
      <w:r w:rsidRPr="00EA5020">
        <w:t xml:space="preserve"> </w:t>
      </w:r>
      <w:r w:rsidR="001F7AA6" w:rsidRPr="00EA5020">
        <w:t>Report at 5-6.</w:t>
      </w:r>
    </w:p>
  </w:footnote>
  <w:footnote w:id="22">
    <w:p w14:paraId="2289F7DB" w14:textId="056BA670" w:rsidR="000C43D1" w:rsidRPr="00EA5020" w:rsidRDefault="000C43D1">
      <w:pPr>
        <w:pStyle w:val="FootnoteText"/>
      </w:pPr>
      <w:r w:rsidRPr="00EA5020">
        <w:rPr>
          <w:rStyle w:val="FootnoteReference"/>
        </w:rPr>
        <w:footnoteRef/>
      </w:r>
      <w:r w:rsidRPr="00EA5020">
        <w:t xml:space="preserve"> </w:t>
      </w:r>
      <w:r w:rsidR="001F7AA6" w:rsidRPr="00EA5020">
        <w:t>Report at 4.</w:t>
      </w:r>
    </w:p>
  </w:footnote>
  <w:footnote w:id="23">
    <w:p w14:paraId="320AFF6B" w14:textId="4A530411" w:rsidR="00181468" w:rsidRPr="00EA5020" w:rsidRDefault="00181468">
      <w:pPr>
        <w:pStyle w:val="FootnoteText"/>
      </w:pPr>
      <w:r w:rsidRPr="00EA5020">
        <w:rPr>
          <w:rStyle w:val="FootnoteReference"/>
        </w:rPr>
        <w:footnoteRef/>
      </w:r>
      <w:r w:rsidRPr="00EA5020">
        <w:t xml:space="preserve"> </w:t>
      </w:r>
      <w:r w:rsidR="001F7AA6" w:rsidRPr="00EA5020">
        <w:t>Report at 4.</w:t>
      </w:r>
    </w:p>
  </w:footnote>
  <w:footnote w:id="24">
    <w:p w14:paraId="3C89A45C" w14:textId="7F94F49F" w:rsidR="006F4728" w:rsidRPr="00EA5020" w:rsidRDefault="006F4728">
      <w:pPr>
        <w:pStyle w:val="FootnoteText"/>
      </w:pPr>
      <w:r w:rsidRPr="00EA5020">
        <w:rPr>
          <w:rStyle w:val="FootnoteReference"/>
        </w:rPr>
        <w:footnoteRef/>
      </w:r>
      <w:r w:rsidRPr="00EA5020">
        <w:t xml:space="preserve"> </w:t>
      </w:r>
      <w:r w:rsidR="001F7AA6" w:rsidRPr="00EA5020">
        <w:t>Report at 4.</w:t>
      </w:r>
    </w:p>
  </w:footnote>
  <w:footnote w:id="25">
    <w:p w14:paraId="0FE3F8CD" w14:textId="05DA34D5" w:rsidR="000B57DB" w:rsidRPr="00EA5020" w:rsidRDefault="000B57DB">
      <w:pPr>
        <w:pStyle w:val="FootnoteText"/>
      </w:pPr>
      <w:r w:rsidRPr="00EA5020">
        <w:rPr>
          <w:rStyle w:val="FootnoteReference"/>
        </w:rPr>
        <w:footnoteRef/>
      </w:r>
      <w:r w:rsidRPr="00EA5020">
        <w:t xml:space="preserve"> </w:t>
      </w:r>
      <w:r w:rsidR="001F7AA6" w:rsidRPr="00EA5020">
        <w:t>Report at 5.</w:t>
      </w:r>
    </w:p>
  </w:footnote>
  <w:footnote w:id="26">
    <w:p w14:paraId="7EED125B" w14:textId="1A59BA79" w:rsidR="00061E3D" w:rsidRPr="00EA5020" w:rsidRDefault="00061E3D">
      <w:pPr>
        <w:pStyle w:val="FootnoteText"/>
      </w:pPr>
      <w:r w:rsidRPr="00EA5020">
        <w:rPr>
          <w:rStyle w:val="FootnoteReference"/>
        </w:rPr>
        <w:footnoteRef/>
      </w:r>
      <w:r w:rsidRPr="00EA5020">
        <w:t xml:space="preserve"> </w:t>
      </w:r>
      <w:r w:rsidR="001F7AA6" w:rsidRPr="00EA5020">
        <w:t>Report at 5.</w:t>
      </w:r>
    </w:p>
  </w:footnote>
  <w:footnote w:id="27">
    <w:p w14:paraId="1A601B47" w14:textId="5B15AC63" w:rsidR="00E87A80" w:rsidRPr="00EA5020" w:rsidRDefault="00E87A80">
      <w:pPr>
        <w:pStyle w:val="FootnoteText"/>
      </w:pPr>
      <w:r w:rsidRPr="00EA5020">
        <w:rPr>
          <w:rStyle w:val="FootnoteReference"/>
        </w:rPr>
        <w:footnoteRef/>
      </w:r>
      <w:r w:rsidRPr="00EA5020">
        <w:t xml:space="preserve"> Report at </w:t>
      </w:r>
      <w:r w:rsidR="00691A84" w:rsidRPr="00EA5020">
        <w:t>3</w:t>
      </w:r>
      <w:r w:rsidRPr="00EA5020">
        <w:t>.</w:t>
      </w:r>
      <w:r w:rsidR="00BC0C7F" w:rsidRPr="00EA5020">
        <w:t xml:space="preserve">  The Hearing Examiner further delineated this issue into multiple questions, including: (1)  whether WASA implemented a new payroll system without negotiations with the Unions; (2) whether WASA had a duty to negotiate with the Unions prior to implementation of the new payroll system; (3) whether based on management rights, WASA could implement the new payroll system without bargaining with the Unions; and (4) whether the new payroll system changed bargaining unit employees’ conditions of employment.  The Hearing Examiner further separated the </w:t>
      </w:r>
      <w:r w:rsidR="0098250C" w:rsidRPr="00EA5020">
        <w:t>information request</w:t>
      </w:r>
      <w:r w:rsidR="00BC0C7F" w:rsidRPr="00EA5020">
        <w:t xml:space="preserve"> issue into two questions: (1) whether WASA failed to provide the Unions with certain information needed to bargain over the new payroll system; and (2) whether certain information requested by the Unions was not provided based on protections.</w:t>
      </w:r>
      <w:r w:rsidR="00691A84" w:rsidRPr="00EA5020">
        <w:t xml:space="preserve">  Report at 3.</w:t>
      </w:r>
    </w:p>
  </w:footnote>
  <w:footnote w:id="28">
    <w:p w14:paraId="338313C1" w14:textId="2E7C2252" w:rsidR="006A0BE2" w:rsidRPr="00EA5020" w:rsidRDefault="006A0BE2">
      <w:pPr>
        <w:pStyle w:val="FootnoteText"/>
      </w:pPr>
      <w:r w:rsidRPr="00EA5020">
        <w:rPr>
          <w:rStyle w:val="FootnoteReference"/>
        </w:rPr>
        <w:footnoteRef/>
      </w:r>
      <w:r w:rsidRPr="00EA5020">
        <w:t xml:space="preserve"> Report at 12.</w:t>
      </w:r>
    </w:p>
  </w:footnote>
  <w:footnote w:id="29">
    <w:p w14:paraId="4C6D3AE1" w14:textId="580D08B9" w:rsidR="00691A84" w:rsidRPr="00EA5020" w:rsidRDefault="00691A84">
      <w:pPr>
        <w:pStyle w:val="FootnoteText"/>
      </w:pPr>
      <w:r w:rsidRPr="00EA5020">
        <w:rPr>
          <w:rStyle w:val="FootnoteReference"/>
        </w:rPr>
        <w:footnoteRef/>
      </w:r>
      <w:r w:rsidRPr="00EA5020">
        <w:t xml:space="preserve"> Report at 11.</w:t>
      </w:r>
    </w:p>
  </w:footnote>
  <w:footnote w:id="30">
    <w:p w14:paraId="565043E3" w14:textId="45845B9F" w:rsidR="00BF29C9" w:rsidRPr="00EA5020" w:rsidRDefault="00BF29C9" w:rsidP="00880615">
      <w:pPr>
        <w:pStyle w:val="FootnoteText"/>
        <w:jc w:val="both"/>
      </w:pPr>
      <w:r w:rsidRPr="00EA5020">
        <w:rPr>
          <w:rStyle w:val="FootnoteReference"/>
        </w:rPr>
        <w:footnoteRef/>
      </w:r>
      <w:r w:rsidRPr="00EA5020">
        <w:t xml:space="preserve"> </w:t>
      </w:r>
      <w:r w:rsidR="002D5E21" w:rsidRPr="00EA5020">
        <w:t>Report at 11.</w:t>
      </w:r>
    </w:p>
  </w:footnote>
  <w:footnote w:id="31">
    <w:p w14:paraId="2DFCC3A9" w14:textId="427A8383" w:rsidR="00435AFB" w:rsidRPr="00EA5020" w:rsidRDefault="00435AFB" w:rsidP="00880615">
      <w:pPr>
        <w:pStyle w:val="FootnoteText"/>
        <w:jc w:val="both"/>
      </w:pPr>
      <w:r w:rsidRPr="00EA5020">
        <w:rPr>
          <w:rStyle w:val="FootnoteReference"/>
        </w:rPr>
        <w:footnoteRef/>
      </w:r>
      <w:r w:rsidRPr="00EA5020">
        <w:t xml:space="preserve"> </w:t>
      </w:r>
      <w:r w:rsidR="002D5E21" w:rsidRPr="00EA5020">
        <w:t>Report at 11.</w:t>
      </w:r>
    </w:p>
  </w:footnote>
  <w:footnote w:id="32">
    <w:p w14:paraId="56821163" w14:textId="05C03E48" w:rsidR="00EA3F60" w:rsidRPr="00EA5020" w:rsidRDefault="00EA3F60" w:rsidP="00880615">
      <w:pPr>
        <w:pStyle w:val="FootnoteText"/>
        <w:jc w:val="both"/>
      </w:pPr>
      <w:r w:rsidRPr="00EA5020">
        <w:rPr>
          <w:rStyle w:val="FootnoteReference"/>
        </w:rPr>
        <w:footnoteRef/>
      </w:r>
      <w:r w:rsidRPr="00EA5020">
        <w:t xml:space="preserve"> </w:t>
      </w:r>
      <w:r w:rsidR="002D5E21" w:rsidRPr="00EA5020">
        <w:t>Report at 11.</w:t>
      </w:r>
    </w:p>
  </w:footnote>
  <w:footnote w:id="33">
    <w:p w14:paraId="52A7417A" w14:textId="0FFB90B8" w:rsidR="00D762E3" w:rsidRPr="00EA5020" w:rsidRDefault="00D762E3" w:rsidP="00880615">
      <w:pPr>
        <w:pStyle w:val="FootnoteText"/>
        <w:jc w:val="both"/>
      </w:pPr>
      <w:r w:rsidRPr="00EA5020">
        <w:rPr>
          <w:rStyle w:val="FootnoteReference"/>
        </w:rPr>
        <w:footnoteRef/>
      </w:r>
      <w:r w:rsidRPr="00EA5020">
        <w:t xml:space="preserve"> </w:t>
      </w:r>
      <w:r w:rsidR="002D5E21" w:rsidRPr="00EA5020">
        <w:t>Report at 11</w:t>
      </w:r>
      <w:r w:rsidRPr="00EA5020">
        <w:t xml:space="preserve"> </w:t>
      </w:r>
      <w:r w:rsidR="007B1E0E" w:rsidRPr="00EA5020">
        <w:t>(c</w:t>
      </w:r>
      <w:r w:rsidR="000863A8" w:rsidRPr="00EA5020">
        <w:t xml:space="preserve">iting </w:t>
      </w:r>
      <w:r w:rsidR="000863A8" w:rsidRPr="00EA5020">
        <w:rPr>
          <w:i/>
          <w:iCs/>
        </w:rPr>
        <w:t>In the Matter of AFGE, Local 1000 v. D.C. Employment Services</w:t>
      </w:r>
      <w:r w:rsidR="000863A8" w:rsidRPr="00EA5020">
        <w:t xml:space="preserve">, </w:t>
      </w:r>
      <w:r w:rsidR="003E03CC" w:rsidRPr="00EA5020">
        <w:t>60 D.C. Reg. 16455, Slip Op. No. 1578, PERB Case No. 13-U-07 (2016)</w:t>
      </w:r>
      <w:r w:rsidR="00CA15EC" w:rsidRPr="00EA5020">
        <w:t xml:space="preserve"> (holding that an agency must participate beyond surface bargaining in impact and effects bargaining, but rather that such negotiations must entail full and unabridged opportunities by both parties to advance, exchange, and reject specific proposals)</w:t>
      </w:r>
      <w:r w:rsidR="007B1E0E" w:rsidRPr="00EA5020">
        <w:t>; and</w:t>
      </w:r>
      <w:r w:rsidR="00CA15EC" w:rsidRPr="00EA5020">
        <w:t xml:space="preserve"> </w:t>
      </w:r>
      <w:r w:rsidR="00F97CCE" w:rsidRPr="00EA5020">
        <w:rPr>
          <w:i/>
          <w:iCs/>
        </w:rPr>
        <w:t>AFGE, AFL-CIO, Local 1917 and U.S. Department of Justice, Immigration and Naturalization Service, New York City District Office</w:t>
      </w:r>
      <w:r w:rsidR="00F97CCE" w:rsidRPr="00EA5020">
        <w:t>, 4 FLRA 150-154 (1980)</w:t>
      </w:r>
      <w:r w:rsidR="00743C0B" w:rsidRPr="00EA5020">
        <w:t xml:space="preserve"> </w:t>
      </w:r>
      <w:r w:rsidR="00D51DB4" w:rsidRPr="00EA5020">
        <w:t>(holding that union proposals regarding storage of personal and agency-issued weaponry fell outside the employer’s duty to bargain and did not directly relate to personnel policies, practices or matters impacting bargaining unit employee working conditions)</w:t>
      </w:r>
      <w:r w:rsidR="007B1E0E" w:rsidRPr="00EA5020">
        <w:t>)</w:t>
      </w:r>
      <w:r w:rsidR="00F97CCE" w:rsidRPr="00EA5020">
        <w:t xml:space="preserve">. </w:t>
      </w:r>
    </w:p>
  </w:footnote>
  <w:footnote w:id="34">
    <w:p w14:paraId="6FDF1868" w14:textId="33F01F68" w:rsidR="00457F62" w:rsidRPr="00EA5020" w:rsidRDefault="00457F62" w:rsidP="00880615">
      <w:pPr>
        <w:pStyle w:val="FootnoteText"/>
        <w:jc w:val="both"/>
      </w:pPr>
      <w:r w:rsidRPr="00EA5020">
        <w:rPr>
          <w:rStyle w:val="FootnoteReference"/>
        </w:rPr>
        <w:footnoteRef/>
      </w:r>
      <w:r w:rsidRPr="00EA5020">
        <w:t xml:space="preserve"> </w:t>
      </w:r>
      <w:r w:rsidR="002D5E21" w:rsidRPr="00EA5020">
        <w:t>Report at 11.</w:t>
      </w:r>
    </w:p>
  </w:footnote>
  <w:footnote w:id="35">
    <w:p w14:paraId="7E31808B" w14:textId="05A8FF42" w:rsidR="00822293" w:rsidRPr="00EA5020" w:rsidRDefault="00822293">
      <w:pPr>
        <w:pStyle w:val="FootnoteText"/>
      </w:pPr>
      <w:r w:rsidRPr="00EA5020">
        <w:rPr>
          <w:rStyle w:val="FootnoteReference"/>
        </w:rPr>
        <w:footnoteRef/>
      </w:r>
      <w:r w:rsidRPr="00EA5020">
        <w:t xml:space="preserve"> Report at 11.</w:t>
      </w:r>
    </w:p>
  </w:footnote>
  <w:footnote w:id="36">
    <w:p w14:paraId="41889978" w14:textId="77777777" w:rsidR="00822293" w:rsidRPr="00EA5020" w:rsidRDefault="00822293" w:rsidP="00822293">
      <w:pPr>
        <w:pStyle w:val="FootnoteText"/>
        <w:jc w:val="both"/>
      </w:pPr>
      <w:r w:rsidRPr="00EA5020">
        <w:rPr>
          <w:rStyle w:val="FootnoteReference"/>
        </w:rPr>
        <w:footnoteRef/>
      </w:r>
      <w:r w:rsidRPr="00EA5020">
        <w:t xml:space="preserve"> Report at 12.</w:t>
      </w:r>
    </w:p>
  </w:footnote>
  <w:footnote w:id="37">
    <w:p w14:paraId="23D8B51F" w14:textId="31B1C494" w:rsidR="001E7899" w:rsidRPr="00EA5020" w:rsidRDefault="001E7899" w:rsidP="004A4868">
      <w:pPr>
        <w:pStyle w:val="FootnoteText"/>
        <w:tabs>
          <w:tab w:val="left" w:pos="885"/>
        </w:tabs>
      </w:pPr>
      <w:r w:rsidRPr="00EA5020">
        <w:rPr>
          <w:rStyle w:val="FootnoteReference"/>
        </w:rPr>
        <w:footnoteRef/>
      </w:r>
      <w:r w:rsidRPr="00EA5020">
        <w:t xml:space="preserve"> </w:t>
      </w:r>
      <w:r w:rsidR="004A4868" w:rsidRPr="00EA5020">
        <w:t>Report at 11.</w:t>
      </w:r>
      <w:r w:rsidR="004A4868" w:rsidRPr="00EA5020">
        <w:tab/>
      </w:r>
    </w:p>
  </w:footnote>
  <w:footnote w:id="38">
    <w:p w14:paraId="0189666E" w14:textId="77777777" w:rsidR="001E7899" w:rsidRPr="00EA5020" w:rsidRDefault="001E7899" w:rsidP="001E7899">
      <w:pPr>
        <w:pStyle w:val="FootnoteText"/>
        <w:jc w:val="both"/>
      </w:pPr>
      <w:r w:rsidRPr="00EA5020">
        <w:rPr>
          <w:rStyle w:val="FootnoteReference"/>
        </w:rPr>
        <w:footnoteRef/>
      </w:r>
      <w:r w:rsidRPr="00EA5020">
        <w:t xml:space="preserve"> Report at 12.</w:t>
      </w:r>
    </w:p>
  </w:footnote>
  <w:footnote w:id="39">
    <w:p w14:paraId="0F2B2EC1" w14:textId="77777777" w:rsidR="001E7899" w:rsidRPr="00EA5020" w:rsidRDefault="001E7899" w:rsidP="001E7899">
      <w:pPr>
        <w:pStyle w:val="FootnoteText"/>
      </w:pPr>
      <w:r w:rsidRPr="00EA5020">
        <w:rPr>
          <w:rStyle w:val="FootnoteReference"/>
        </w:rPr>
        <w:footnoteRef/>
      </w:r>
      <w:r w:rsidRPr="00EA5020">
        <w:t xml:space="preserve"> Report at 12.  The Hearing Examiner noted that WASA cited “no DC PERB case law which holds that existing terms and conditions of employment are not subject to the duty to bargain in good faith when the changes are minor.”  Report at 12.  The Hearing Examiner further noted that the changes in this case were </w:t>
      </w:r>
      <w:r w:rsidRPr="00EA5020">
        <w:rPr>
          <w:i/>
          <w:iCs/>
        </w:rPr>
        <w:t xml:space="preserve">not </w:t>
      </w:r>
      <w:r w:rsidRPr="00EA5020">
        <w:t xml:space="preserve">minor or insignificant changes, stating that the record here “contains numerous employee payroll problems tied to the Oracle implementation.”  Report at 12. </w:t>
      </w:r>
    </w:p>
  </w:footnote>
  <w:footnote w:id="40">
    <w:p w14:paraId="59262CE9" w14:textId="1FBAE6CA" w:rsidR="00FF660F" w:rsidRPr="00EA5020" w:rsidRDefault="00FF660F" w:rsidP="00880615">
      <w:pPr>
        <w:pStyle w:val="FootnoteText"/>
        <w:jc w:val="both"/>
      </w:pPr>
      <w:r w:rsidRPr="00EA5020">
        <w:rPr>
          <w:rStyle w:val="FootnoteReference"/>
        </w:rPr>
        <w:footnoteRef/>
      </w:r>
      <w:r w:rsidRPr="00EA5020">
        <w:t xml:space="preserve"> </w:t>
      </w:r>
      <w:r w:rsidR="00743C0B" w:rsidRPr="00EA5020">
        <w:t xml:space="preserve">Report </w:t>
      </w:r>
      <w:r w:rsidRPr="00EA5020">
        <w:t>at 12</w:t>
      </w:r>
      <w:r w:rsidR="00A30555" w:rsidRPr="00EA5020">
        <w:t>.</w:t>
      </w:r>
    </w:p>
  </w:footnote>
  <w:footnote w:id="41">
    <w:p w14:paraId="673EEFD1" w14:textId="77777777" w:rsidR="0034708E" w:rsidRPr="00EA5020" w:rsidRDefault="0034708E" w:rsidP="0034708E">
      <w:pPr>
        <w:pStyle w:val="FootnoteText"/>
        <w:jc w:val="both"/>
      </w:pPr>
      <w:r w:rsidRPr="00EA5020">
        <w:rPr>
          <w:rStyle w:val="FootnoteReference"/>
        </w:rPr>
        <w:footnoteRef/>
      </w:r>
      <w:r w:rsidRPr="00EA5020">
        <w:t xml:space="preserve"> Report at 12.</w:t>
      </w:r>
    </w:p>
  </w:footnote>
  <w:footnote w:id="42">
    <w:p w14:paraId="6210F52F" w14:textId="59FD9D0B" w:rsidR="00C511E0" w:rsidRPr="00EA5020" w:rsidRDefault="00C511E0">
      <w:pPr>
        <w:pStyle w:val="FootnoteText"/>
      </w:pPr>
      <w:r w:rsidRPr="00EA5020">
        <w:rPr>
          <w:rStyle w:val="FootnoteReference"/>
        </w:rPr>
        <w:footnoteRef/>
      </w:r>
      <w:r w:rsidRPr="00EA5020">
        <w:t xml:space="preserve"> </w:t>
      </w:r>
      <w:r w:rsidR="00A30555" w:rsidRPr="00EA5020">
        <w:t xml:space="preserve">Report at 12. </w:t>
      </w:r>
    </w:p>
  </w:footnote>
  <w:footnote w:id="43">
    <w:p w14:paraId="384D66E9" w14:textId="37460D1B" w:rsidR="0034708E" w:rsidRPr="00EA5020" w:rsidRDefault="0034708E">
      <w:pPr>
        <w:pStyle w:val="FootnoteText"/>
      </w:pPr>
      <w:r w:rsidRPr="00EA5020">
        <w:rPr>
          <w:rStyle w:val="FootnoteReference"/>
        </w:rPr>
        <w:footnoteRef/>
      </w:r>
      <w:r w:rsidRPr="00EA5020">
        <w:t xml:space="preserve"> Report at 12.</w:t>
      </w:r>
    </w:p>
  </w:footnote>
  <w:footnote w:id="44">
    <w:p w14:paraId="3C88B16A" w14:textId="2F0B81D1" w:rsidR="00EE2DE9" w:rsidRPr="00EA5020" w:rsidRDefault="00EE2DE9">
      <w:pPr>
        <w:pStyle w:val="FootnoteText"/>
      </w:pPr>
      <w:r w:rsidRPr="00EA5020">
        <w:rPr>
          <w:rStyle w:val="FootnoteReference"/>
        </w:rPr>
        <w:footnoteRef/>
      </w:r>
      <w:r w:rsidRPr="00EA5020">
        <w:t xml:space="preserve"> </w:t>
      </w:r>
      <w:bookmarkStart w:id="1" w:name="_Hlk133490581"/>
      <w:r w:rsidRPr="00EA5020">
        <w:t>Report at 12</w:t>
      </w:r>
      <w:bookmarkEnd w:id="1"/>
      <w:r w:rsidRPr="00EA5020">
        <w:t xml:space="preserve">. </w:t>
      </w:r>
    </w:p>
  </w:footnote>
  <w:footnote w:id="45">
    <w:p w14:paraId="791734DF" w14:textId="1E5CA0EB" w:rsidR="00AD3999" w:rsidRPr="00EA5020" w:rsidRDefault="00AD3999" w:rsidP="00880615">
      <w:pPr>
        <w:pStyle w:val="FootnoteText"/>
        <w:jc w:val="both"/>
      </w:pPr>
      <w:r w:rsidRPr="00EA5020">
        <w:rPr>
          <w:rStyle w:val="FootnoteReference"/>
        </w:rPr>
        <w:footnoteRef/>
      </w:r>
      <w:r w:rsidRPr="00EA5020">
        <w:t xml:space="preserve"> </w:t>
      </w:r>
      <w:r w:rsidR="00B473E4" w:rsidRPr="00EA5020">
        <w:t>Report at 13.</w:t>
      </w:r>
    </w:p>
  </w:footnote>
  <w:footnote w:id="46">
    <w:p w14:paraId="314BA2B5" w14:textId="7B438FAB" w:rsidR="00905196" w:rsidRPr="00EA5020" w:rsidRDefault="00905196" w:rsidP="00880615">
      <w:pPr>
        <w:pStyle w:val="FootnoteText"/>
        <w:jc w:val="both"/>
      </w:pPr>
      <w:r w:rsidRPr="00EA5020">
        <w:rPr>
          <w:rStyle w:val="FootnoteReference"/>
        </w:rPr>
        <w:footnoteRef/>
      </w:r>
      <w:r w:rsidRPr="00EA5020">
        <w:t xml:space="preserve"> Unions’ Closing Brief at 7-8. </w:t>
      </w:r>
    </w:p>
  </w:footnote>
  <w:footnote w:id="47">
    <w:p w14:paraId="1165EED6" w14:textId="3BE4818A" w:rsidR="00905196" w:rsidRPr="00EA5020" w:rsidRDefault="00905196" w:rsidP="00880615">
      <w:pPr>
        <w:pStyle w:val="FootnoteText"/>
        <w:jc w:val="both"/>
      </w:pPr>
      <w:r w:rsidRPr="00EA5020">
        <w:rPr>
          <w:rStyle w:val="FootnoteReference"/>
        </w:rPr>
        <w:footnoteRef/>
      </w:r>
      <w:r w:rsidRPr="00EA5020">
        <w:t xml:space="preserve"> Agency’s Closing Brief at 14.</w:t>
      </w:r>
    </w:p>
  </w:footnote>
  <w:footnote w:id="48">
    <w:p w14:paraId="79C4DF3C" w14:textId="4C45005A" w:rsidR="00F22728" w:rsidRPr="00EA5020" w:rsidRDefault="00F22728" w:rsidP="00880615">
      <w:pPr>
        <w:pStyle w:val="FootnoteText"/>
        <w:jc w:val="both"/>
      </w:pPr>
      <w:r w:rsidRPr="00EA5020">
        <w:rPr>
          <w:rStyle w:val="FootnoteReference"/>
        </w:rPr>
        <w:footnoteRef/>
      </w:r>
      <w:r w:rsidRPr="00EA5020">
        <w:t xml:space="preserve"> </w:t>
      </w:r>
      <w:r w:rsidR="00533A77" w:rsidRPr="00EA5020">
        <w:t xml:space="preserve">Report </w:t>
      </w:r>
      <w:r w:rsidRPr="00EA5020">
        <w:t xml:space="preserve">at 15.  </w:t>
      </w:r>
    </w:p>
  </w:footnote>
  <w:footnote w:id="49">
    <w:p w14:paraId="503669FD" w14:textId="7A4AC760" w:rsidR="005D7D31" w:rsidRPr="00EA5020" w:rsidRDefault="005D7D31" w:rsidP="00880615">
      <w:pPr>
        <w:pStyle w:val="FootnoteText"/>
        <w:jc w:val="both"/>
      </w:pPr>
      <w:r w:rsidRPr="00EA5020">
        <w:rPr>
          <w:rStyle w:val="FootnoteReference"/>
        </w:rPr>
        <w:footnoteRef/>
      </w:r>
      <w:r w:rsidRPr="00EA5020">
        <w:t xml:space="preserve"> </w:t>
      </w:r>
      <w:r w:rsidR="00B473E4" w:rsidRPr="00EA5020">
        <w:t>Report at 13.</w:t>
      </w:r>
    </w:p>
  </w:footnote>
  <w:footnote w:id="50">
    <w:p w14:paraId="3250D1AF" w14:textId="693D6D6E" w:rsidR="00356C63" w:rsidRPr="00EA5020" w:rsidRDefault="00356C63" w:rsidP="00880615">
      <w:pPr>
        <w:pStyle w:val="FootnoteText"/>
        <w:jc w:val="both"/>
      </w:pPr>
      <w:r w:rsidRPr="00EA5020">
        <w:rPr>
          <w:rStyle w:val="FootnoteReference"/>
        </w:rPr>
        <w:footnoteRef/>
      </w:r>
      <w:r w:rsidRPr="00EA5020">
        <w:t xml:space="preserve"> </w:t>
      </w:r>
      <w:r w:rsidR="00B473E4" w:rsidRPr="00EA5020">
        <w:t>Report at 13.</w:t>
      </w:r>
    </w:p>
  </w:footnote>
  <w:footnote w:id="51">
    <w:p w14:paraId="6A61D7F5" w14:textId="712978CC" w:rsidR="00721023" w:rsidRPr="00EA5020" w:rsidRDefault="00721023" w:rsidP="00880615">
      <w:pPr>
        <w:pStyle w:val="FootnoteText"/>
        <w:jc w:val="both"/>
      </w:pPr>
      <w:r w:rsidRPr="00EA5020">
        <w:rPr>
          <w:rStyle w:val="FootnoteReference"/>
        </w:rPr>
        <w:footnoteRef/>
      </w:r>
      <w:r w:rsidRPr="00EA5020">
        <w:t xml:space="preserve"> Exceptions at 1, 6 and 9.</w:t>
      </w:r>
    </w:p>
  </w:footnote>
  <w:footnote w:id="52">
    <w:p w14:paraId="2EF93BCD" w14:textId="77777777" w:rsidR="00A467C1" w:rsidRPr="00EA5020" w:rsidRDefault="00A467C1" w:rsidP="00A467C1">
      <w:pPr>
        <w:pStyle w:val="FootnoteText"/>
        <w:jc w:val="both"/>
      </w:pPr>
      <w:r w:rsidRPr="00EA5020">
        <w:rPr>
          <w:rStyle w:val="FootnoteReference"/>
        </w:rPr>
        <w:footnoteRef/>
      </w:r>
      <w:r w:rsidRPr="00EA5020">
        <w:t xml:space="preserve"> Report at 12. </w:t>
      </w:r>
    </w:p>
  </w:footnote>
  <w:footnote w:id="53">
    <w:p w14:paraId="651AEC70" w14:textId="77777777" w:rsidR="003E5EE1" w:rsidRPr="00EA5020" w:rsidRDefault="003E5EE1" w:rsidP="003E5EE1">
      <w:pPr>
        <w:pStyle w:val="FootnoteText"/>
      </w:pPr>
      <w:r w:rsidRPr="00EA5020">
        <w:rPr>
          <w:rStyle w:val="FootnoteReference"/>
        </w:rPr>
        <w:footnoteRef/>
      </w:r>
      <w:r w:rsidRPr="00EA5020">
        <w:t xml:space="preserve"> </w:t>
      </w:r>
      <w:r w:rsidRPr="00EA5020">
        <w:rPr>
          <w:i/>
          <w:iCs/>
        </w:rPr>
        <w:t>AFGE, Locals 631, 2553, 872, AFSCME, Local 2091, and NAGE, Local R3-06 v. WASA</w:t>
      </w:r>
      <w:r w:rsidRPr="00EA5020">
        <w:t xml:space="preserve"> at 7-8. </w:t>
      </w:r>
    </w:p>
  </w:footnote>
  <w:footnote w:id="54">
    <w:p w14:paraId="4A4625EC" w14:textId="0E553EFA" w:rsidR="00533CEC" w:rsidRPr="00EA5020" w:rsidRDefault="00533CEC" w:rsidP="00533CEC">
      <w:pPr>
        <w:pStyle w:val="FootnoteText"/>
        <w:jc w:val="both"/>
      </w:pPr>
      <w:r w:rsidRPr="00EA5020">
        <w:rPr>
          <w:rStyle w:val="FootnoteReference"/>
        </w:rPr>
        <w:footnoteRef/>
      </w:r>
      <w:r w:rsidRPr="00EA5020">
        <w:t xml:space="preserve"> </w:t>
      </w:r>
      <w:r w:rsidR="00D947A3" w:rsidRPr="00EA5020">
        <w:rPr>
          <w:i/>
          <w:iCs/>
        </w:rPr>
        <w:t xml:space="preserve">But see </w:t>
      </w:r>
      <w:r w:rsidRPr="00EA5020">
        <w:rPr>
          <w:i/>
          <w:iCs/>
        </w:rPr>
        <w:t>AFGE, Locals 631, 2553, 872, AFSCME, Local 2091, and NAGE, Local R3-06 v. WASA</w:t>
      </w:r>
      <w:r w:rsidRPr="00EA5020">
        <w:t xml:space="preserve">, 54 D.C. Reg. 2655, Slip Op. No. 810 at </w:t>
      </w:r>
      <w:r w:rsidR="00D947A3" w:rsidRPr="00EA5020">
        <w:t>7</w:t>
      </w:r>
      <w:r w:rsidRPr="00EA5020">
        <w:t xml:space="preserve">, PERB Case No. 03-U-34 (2007) (holding that </w:t>
      </w:r>
      <w:r w:rsidR="00D947A3" w:rsidRPr="00EA5020">
        <w:t>the Unions failed to request impact and effects bargaining and therefore did not meet the burden of showing that the Agency had refused to engage in requested impact and effects bargaining</w:t>
      </w:r>
      <w:r w:rsidRPr="00EA5020">
        <w:t xml:space="preserve">). </w:t>
      </w:r>
    </w:p>
  </w:footnote>
  <w:footnote w:id="55">
    <w:p w14:paraId="26E25055" w14:textId="033DDC60" w:rsidR="003A6A1A" w:rsidRPr="00EA5020" w:rsidRDefault="003A6A1A" w:rsidP="00880615">
      <w:pPr>
        <w:pStyle w:val="FootnoteText"/>
        <w:jc w:val="both"/>
      </w:pPr>
      <w:r w:rsidRPr="00EA5020">
        <w:rPr>
          <w:rStyle w:val="FootnoteReference"/>
        </w:rPr>
        <w:footnoteRef/>
      </w:r>
      <w:r w:rsidRPr="00EA5020">
        <w:t xml:space="preserve"> </w:t>
      </w:r>
      <w:r w:rsidR="00397FA1" w:rsidRPr="00EA5020">
        <w:rPr>
          <w:i/>
          <w:iCs/>
        </w:rPr>
        <w:t xml:space="preserve">But see AFGE, Local 1000 v. D.C. Employment Services </w:t>
      </w:r>
      <w:r w:rsidR="00397FA1" w:rsidRPr="00EA5020">
        <w:t>at 4</w:t>
      </w:r>
      <w:r w:rsidR="00CA15EC" w:rsidRPr="00EA5020">
        <w:t>.</w:t>
      </w:r>
      <w:r w:rsidR="00397FA1" w:rsidRPr="00EA5020">
        <w:t xml:space="preserve"> </w:t>
      </w:r>
    </w:p>
  </w:footnote>
  <w:footnote w:id="56">
    <w:p w14:paraId="33B00F80" w14:textId="2AB5F4DD" w:rsidR="002771B6" w:rsidRPr="00EA5020" w:rsidRDefault="002771B6" w:rsidP="00880615">
      <w:pPr>
        <w:pStyle w:val="FootnoteText"/>
        <w:jc w:val="both"/>
      </w:pPr>
      <w:r w:rsidRPr="00EA5020">
        <w:rPr>
          <w:rStyle w:val="FootnoteReference"/>
        </w:rPr>
        <w:footnoteRef/>
      </w:r>
      <w:r w:rsidRPr="00EA5020">
        <w:t xml:space="preserve"> </w:t>
      </w:r>
      <w:r w:rsidR="001C74B1" w:rsidRPr="00EA5020">
        <w:rPr>
          <w:i/>
          <w:iCs/>
        </w:rPr>
        <w:t xml:space="preserve">Id. </w:t>
      </w:r>
      <w:r w:rsidR="001C74B1" w:rsidRPr="00EA5020">
        <w:t xml:space="preserve">at 11 (citing </w:t>
      </w:r>
      <w:r w:rsidR="001C74B1" w:rsidRPr="00EA5020">
        <w:rPr>
          <w:i/>
          <w:iCs/>
        </w:rPr>
        <w:t>AFSCME, Dist. Council 20, Local 2401, AFL-CIO v. D.C. CFSA</w:t>
      </w:r>
      <w:r w:rsidR="001C74B1" w:rsidRPr="00EA5020">
        <w:t>, 61 D.C. Reg. 12586, Slip Op. No. 1497 at 3, PERB Case No. 10-I-06 (2014)).</w:t>
      </w:r>
    </w:p>
  </w:footnote>
  <w:footnote w:id="57">
    <w:p w14:paraId="461B7EF2" w14:textId="5DA83850" w:rsidR="001C74B1" w:rsidRPr="00EA5020" w:rsidRDefault="001C74B1">
      <w:pPr>
        <w:pStyle w:val="FootnoteText"/>
      </w:pPr>
      <w:r w:rsidRPr="00EA5020">
        <w:rPr>
          <w:rStyle w:val="FootnoteReference"/>
        </w:rPr>
        <w:footnoteRef/>
      </w:r>
      <w:r w:rsidRPr="00EA5020">
        <w:t xml:space="preserve"> </w:t>
      </w:r>
      <w:r w:rsidR="00F74237" w:rsidRPr="00EA5020">
        <w:t xml:space="preserve">Report at 12. </w:t>
      </w:r>
    </w:p>
  </w:footnote>
  <w:footnote w:id="58">
    <w:p w14:paraId="3850B1F1" w14:textId="0DEB136F" w:rsidR="00D125B8" w:rsidRPr="00EA5020" w:rsidRDefault="00D125B8" w:rsidP="00880615">
      <w:pPr>
        <w:pStyle w:val="FootnoteText"/>
        <w:jc w:val="both"/>
      </w:pPr>
      <w:r w:rsidRPr="00EA5020">
        <w:rPr>
          <w:rStyle w:val="FootnoteReference"/>
        </w:rPr>
        <w:footnoteRef/>
      </w:r>
      <w:r w:rsidRPr="00EA5020">
        <w:t xml:space="preserve"> </w:t>
      </w:r>
      <w:r w:rsidR="009971AD" w:rsidRPr="00EA5020">
        <w:t>Report at 12</w:t>
      </w:r>
      <w:r w:rsidRPr="00EA5020">
        <w:t xml:space="preserve">. </w:t>
      </w:r>
    </w:p>
  </w:footnote>
  <w:footnote w:id="59">
    <w:p w14:paraId="452A4F0F" w14:textId="1DFE6B23" w:rsidR="00AE785F" w:rsidRPr="00EA5020" w:rsidRDefault="00AE785F">
      <w:pPr>
        <w:pStyle w:val="FootnoteText"/>
      </w:pPr>
      <w:r w:rsidRPr="00EA5020">
        <w:rPr>
          <w:rStyle w:val="FootnoteReference"/>
        </w:rPr>
        <w:footnoteRef/>
      </w:r>
      <w:r w:rsidRPr="00EA5020">
        <w:t xml:space="preserve"> </w:t>
      </w:r>
      <w:r w:rsidR="007144BB" w:rsidRPr="00EA5020">
        <w:t xml:space="preserve">D.C. Official Code §§ 1-617.07. </w:t>
      </w:r>
    </w:p>
  </w:footnote>
  <w:footnote w:id="60">
    <w:p w14:paraId="6BD7CD4D" w14:textId="140B8B18" w:rsidR="003A7AF0" w:rsidRPr="00EA5020" w:rsidRDefault="003A7AF0" w:rsidP="00880615">
      <w:pPr>
        <w:pStyle w:val="FootnoteText"/>
        <w:jc w:val="both"/>
      </w:pPr>
      <w:r w:rsidRPr="00EA5020">
        <w:rPr>
          <w:rStyle w:val="FootnoteReference"/>
        </w:rPr>
        <w:footnoteRef/>
      </w:r>
      <w:r w:rsidRPr="00EA5020">
        <w:t xml:space="preserve"> </w:t>
      </w:r>
      <w:r w:rsidR="00743C0B" w:rsidRPr="00EA5020">
        <w:rPr>
          <w:i/>
          <w:iCs/>
        </w:rPr>
        <w:t xml:space="preserve">See </w:t>
      </w:r>
      <w:r w:rsidR="00905335" w:rsidRPr="00EA5020">
        <w:rPr>
          <w:i/>
          <w:iCs/>
        </w:rPr>
        <w:t>AFSCME, District Council 20, Local 2087 v. UDC</w:t>
      </w:r>
      <w:r w:rsidR="00905335" w:rsidRPr="00EA5020">
        <w:t>, 67 D.C. Reg. 8903, Slip Op. No. 1751 at 5, PERB Case No. 18-U-03 (2020).</w:t>
      </w:r>
    </w:p>
  </w:footnote>
  <w:footnote w:id="61">
    <w:p w14:paraId="2C6B3E54" w14:textId="1A8D6FC6" w:rsidR="003A7AF0" w:rsidRPr="00EA5020" w:rsidRDefault="003A7AF0" w:rsidP="00880615">
      <w:pPr>
        <w:pStyle w:val="FootnoteText"/>
        <w:jc w:val="both"/>
      </w:pPr>
      <w:r w:rsidRPr="00EA5020">
        <w:rPr>
          <w:rStyle w:val="FootnoteReference"/>
        </w:rPr>
        <w:footnoteRef/>
      </w:r>
      <w:r w:rsidRPr="00EA5020">
        <w:t xml:space="preserve"> </w:t>
      </w:r>
      <w:r w:rsidRPr="00EA5020">
        <w:rPr>
          <w:i/>
          <w:iCs/>
        </w:rPr>
        <w:t>Id</w:t>
      </w:r>
      <w:r w:rsidRPr="00EA5020">
        <w:t xml:space="preserve">. </w:t>
      </w:r>
    </w:p>
  </w:footnote>
  <w:footnote w:id="62">
    <w:p w14:paraId="5A579D68" w14:textId="0786551E" w:rsidR="003A7AF0" w:rsidRPr="00EA5020" w:rsidRDefault="003A7AF0" w:rsidP="00880615">
      <w:pPr>
        <w:pStyle w:val="FootnoteText"/>
        <w:jc w:val="both"/>
      </w:pPr>
      <w:r w:rsidRPr="00EA5020">
        <w:rPr>
          <w:rStyle w:val="FootnoteReference"/>
        </w:rPr>
        <w:footnoteRef/>
      </w:r>
      <w:r w:rsidRPr="00EA5020">
        <w:t xml:space="preserve"> </w:t>
      </w:r>
      <w:r w:rsidRPr="00EA5020">
        <w:rPr>
          <w:i/>
          <w:iCs/>
        </w:rPr>
        <w:t>Id</w:t>
      </w:r>
      <w:r w:rsidRPr="00EA5020">
        <w:t xml:space="preserve">. </w:t>
      </w:r>
    </w:p>
  </w:footnote>
  <w:footnote w:id="63">
    <w:p w14:paraId="02F13DBB" w14:textId="268C32FE" w:rsidR="00E17B9C" w:rsidRPr="00EA5020" w:rsidRDefault="00E17B9C" w:rsidP="00880615">
      <w:pPr>
        <w:pStyle w:val="FootnoteText"/>
        <w:jc w:val="both"/>
        <w:rPr>
          <w:i/>
          <w:iCs/>
        </w:rPr>
      </w:pPr>
      <w:r w:rsidRPr="00EA5020">
        <w:rPr>
          <w:rStyle w:val="FootnoteReference"/>
        </w:rPr>
        <w:footnoteRef/>
      </w:r>
      <w:r w:rsidRPr="00EA5020">
        <w:t xml:space="preserve"> Exceptions at 15. </w:t>
      </w:r>
    </w:p>
  </w:footnote>
  <w:footnote w:id="64">
    <w:p w14:paraId="25B7895F" w14:textId="567252B7" w:rsidR="007F4AC7" w:rsidRPr="00EA5020" w:rsidRDefault="007F4AC7" w:rsidP="00880615">
      <w:pPr>
        <w:pStyle w:val="FootnoteText"/>
        <w:jc w:val="both"/>
      </w:pPr>
      <w:r w:rsidRPr="00EA5020">
        <w:rPr>
          <w:rStyle w:val="FootnoteReference"/>
        </w:rPr>
        <w:footnoteRef/>
      </w:r>
      <w:r w:rsidRPr="00EA5020">
        <w:t xml:space="preserve"> </w:t>
      </w:r>
      <w:r w:rsidR="0032226E" w:rsidRPr="00EA5020">
        <w:t xml:space="preserve"> </w:t>
      </w:r>
      <w:r w:rsidR="00743C0B" w:rsidRPr="00EA5020">
        <w:rPr>
          <w:i/>
          <w:iCs/>
        </w:rPr>
        <w:t>WTU v. DCPS</w:t>
      </w:r>
      <w:r w:rsidR="00743C0B" w:rsidRPr="00EA5020">
        <w:t>,</w:t>
      </w:r>
      <w:r w:rsidR="00743C0B" w:rsidRPr="00EA5020">
        <w:rPr>
          <w:i/>
          <w:iCs/>
        </w:rPr>
        <w:t xml:space="preserve"> </w:t>
      </w:r>
      <w:r w:rsidR="00743C0B" w:rsidRPr="00EA5020">
        <w:t xml:space="preserve">65 </w:t>
      </w:r>
      <w:r w:rsidR="0032226E" w:rsidRPr="00EA5020">
        <w:t xml:space="preserve">D.C. Reg. </w:t>
      </w:r>
      <w:r w:rsidR="00743C0B" w:rsidRPr="00EA5020">
        <w:t>7474</w:t>
      </w:r>
      <w:r w:rsidRPr="00EA5020">
        <w:t>, Slip Op. No. 1668</w:t>
      </w:r>
      <w:r w:rsidR="00E404FF" w:rsidRPr="00EA5020">
        <w:t xml:space="preserve"> at 8</w:t>
      </w:r>
      <w:r w:rsidRPr="00EA5020">
        <w:t>, PERB Case No. 15-U-28</w:t>
      </w:r>
      <w:r w:rsidR="00743C0B" w:rsidRPr="00EA5020">
        <w:t xml:space="preserve"> (2018)</w:t>
      </w:r>
      <w:r w:rsidRPr="00EA5020">
        <w:t>.</w:t>
      </w:r>
    </w:p>
  </w:footnote>
  <w:footnote w:id="65">
    <w:p w14:paraId="162F082D" w14:textId="6121A20E" w:rsidR="0032226E" w:rsidRPr="00EA5020" w:rsidRDefault="0032226E" w:rsidP="00880615">
      <w:pPr>
        <w:pStyle w:val="FootnoteText"/>
        <w:jc w:val="both"/>
      </w:pPr>
      <w:r w:rsidRPr="00EA5020">
        <w:rPr>
          <w:rStyle w:val="FootnoteReference"/>
        </w:rPr>
        <w:footnoteRef/>
      </w:r>
      <w:r w:rsidRPr="00EA5020">
        <w:t xml:space="preserve"> </w:t>
      </w:r>
      <w:r w:rsidR="00743C0B" w:rsidRPr="00EA5020">
        <w:rPr>
          <w:i/>
          <w:iCs/>
        </w:rPr>
        <w:t xml:space="preserve">Id. </w:t>
      </w:r>
    </w:p>
  </w:footnote>
  <w:footnote w:id="66">
    <w:p w14:paraId="3531F750" w14:textId="0F6FD927" w:rsidR="00905335" w:rsidRPr="00EA5020" w:rsidRDefault="00905335">
      <w:pPr>
        <w:pStyle w:val="FootnoteText"/>
      </w:pPr>
      <w:r w:rsidRPr="00EA5020">
        <w:rPr>
          <w:rStyle w:val="FootnoteReference"/>
        </w:rPr>
        <w:footnoteRef/>
      </w:r>
      <w:r w:rsidRPr="00EA5020">
        <w:t xml:space="preserve"> </w:t>
      </w:r>
      <w:r w:rsidRPr="00EA5020">
        <w:rPr>
          <w:i/>
          <w:iCs/>
        </w:rPr>
        <w:t>Id.</w:t>
      </w:r>
      <w:r w:rsidRPr="00EA5020">
        <w:t xml:space="preserve"> at 6</w:t>
      </w:r>
      <w:r w:rsidR="004A4868" w:rsidRPr="00EA5020">
        <w:t>-7</w:t>
      </w:r>
      <w:r w:rsidRPr="00EA5020">
        <w:t>.</w:t>
      </w:r>
    </w:p>
  </w:footnote>
  <w:footnote w:id="67">
    <w:p w14:paraId="034F1AC9" w14:textId="5F47539D" w:rsidR="00AC58A1" w:rsidRPr="00EA5020" w:rsidRDefault="00AC58A1">
      <w:pPr>
        <w:pStyle w:val="FootnoteText"/>
      </w:pPr>
      <w:r w:rsidRPr="00EA5020">
        <w:rPr>
          <w:rStyle w:val="FootnoteReference"/>
        </w:rPr>
        <w:footnoteRef/>
      </w:r>
      <w:r w:rsidRPr="00EA5020">
        <w:t xml:space="preserve"> </w:t>
      </w:r>
      <w:r w:rsidR="00905335" w:rsidRPr="00EA5020">
        <w:rPr>
          <w:i/>
          <w:iCs/>
        </w:rPr>
        <w:t xml:space="preserve">AFSCME, District Council 20, Local 2087 v. UDC </w:t>
      </w:r>
      <w:r w:rsidR="00905335" w:rsidRPr="00EA5020">
        <w:t xml:space="preserve">at 4. </w:t>
      </w:r>
    </w:p>
  </w:footnote>
  <w:footnote w:id="68">
    <w:p w14:paraId="6075E8C4" w14:textId="0617B264" w:rsidR="00F31AF9" w:rsidRPr="00EA5020" w:rsidRDefault="00F31AF9">
      <w:pPr>
        <w:pStyle w:val="FootnoteText"/>
      </w:pPr>
      <w:r w:rsidRPr="00EA5020">
        <w:rPr>
          <w:rStyle w:val="FootnoteReference"/>
        </w:rPr>
        <w:footnoteRef/>
      </w:r>
      <w:r w:rsidRPr="00EA5020">
        <w:t xml:space="preserve"> The Unions also requested as relief, in part, attorneys’ fees and the reimbursement of costs in this matter, arguing an award of attorneys’ fees and costs furthered the interest of justice in this case because WASA’s actions were intentional and because WASA knew or should have known its actions constituted an unfair labor practice.</w:t>
      </w:r>
      <w:r w:rsidRPr="00EA5020">
        <w:rPr>
          <w:vertAlign w:val="superscript"/>
        </w:rPr>
        <w:footnoteRef/>
      </w:r>
      <w:r w:rsidRPr="00EA5020">
        <w:t xml:space="preserve">   The Hearing Examiner did not grant attorney fees or costs in this case.</w:t>
      </w:r>
    </w:p>
  </w:footnote>
  <w:footnote w:id="69">
    <w:p w14:paraId="3CDB974E" w14:textId="77777777" w:rsidR="00057B2E" w:rsidRPr="00EA5020" w:rsidRDefault="00057B2E" w:rsidP="00057B2E">
      <w:pPr>
        <w:pStyle w:val="FootnoteText"/>
        <w:jc w:val="both"/>
      </w:pPr>
      <w:r w:rsidRPr="00EA5020">
        <w:rPr>
          <w:rStyle w:val="FootnoteReference"/>
        </w:rPr>
        <w:footnoteRef/>
      </w:r>
      <w:r w:rsidRPr="00EA5020">
        <w:t xml:space="preserve"> Exceptions at 13. </w:t>
      </w:r>
    </w:p>
  </w:footnote>
  <w:footnote w:id="70">
    <w:p w14:paraId="67E48066" w14:textId="77777777" w:rsidR="00057B2E" w:rsidRPr="00EA5020" w:rsidRDefault="00057B2E" w:rsidP="00057B2E">
      <w:pPr>
        <w:pStyle w:val="FootnoteText"/>
        <w:jc w:val="both"/>
      </w:pPr>
      <w:r w:rsidRPr="00EA5020">
        <w:rPr>
          <w:rStyle w:val="FootnoteReference"/>
        </w:rPr>
        <w:footnoteRef/>
      </w:r>
      <w:r w:rsidRPr="00EA5020">
        <w:t xml:space="preserve"> Report at 12. </w:t>
      </w:r>
    </w:p>
  </w:footnote>
  <w:footnote w:id="71">
    <w:p w14:paraId="5B370365" w14:textId="25B4D17E" w:rsidR="00490D00" w:rsidRPr="00EA5020" w:rsidRDefault="00490D00">
      <w:pPr>
        <w:pStyle w:val="FootnoteText"/>
      </w:pPr>
      <w:r w:rsidRPr="00EA5020">
        <w:rPr>
          <w:rStyle w:val="FootnoteReference"/>
        </w:rPr>
        <w:footnoteRef/>
      </w:r>
      <w:r w:rsidRPr="00EA5020">
        <w:t xml:space="preserve"> </w:t>
      </w:r>
      <w:r w:rsidR="008D7868" w:rsidRPr="00EA5020">
        <w:rPr>
          <w:i/>
          <w:iCs/>
        </w:rPr>
        <w:t>AFGE, Local 383 v. D.C. Dept. of Mental Health</w:t>
      </w:r>
      <w:r w:rsidR="008D7868" w:rsidRPr="00EA5020">
        <w:t>, 52 D.C. Reg. 2527,</w:t>
      </w:r>
      <w:r w:rsidR="008D7868" w:rsidRPr="00EA5020">
        <w:rPr>
          <w:i/>
          <w:iCs/>
        </w:rPr>
        <w:t xml:space="preserve"> </w:t>
      </w:r>
      <w:r w:rsidR="008D7868" w:rsidRPr="00EA5020">
        <w:t>Slip Op. No. 753 at 7, PERB Case No. 02-U-16 (2005).</w:t>
      </w:r>
    </w:p>
  </w:footnote>
  <w:footnote w:id="72">
    <w:p w14:paraId="49D1380B" w14:textId="4B8ED154" w:rsidR="008D7868" w:rsidRPr="00EA5020" w:rsidRDefault="008D7868">
      <w:pPr>
        <w:pStyle w:val="FootnoteText"/>
      </w:pPr>
      <w:r w:rsidRPr="00EA5020">
        <w:rPr>
          <w:rStyle w:val="FootnoteReference"/>
        </w:rPr>
        <w:footnoteRef/>
      </w:r>
      <w:r w:rsidRPr="00EA5020">
        <w:t xml:space="preserve"> </w:t>
      </w:r>
      <w:r w:rsidRPr="00EA5020">
        <w:rPr>
          <w:i/>
          <w:iCs/>
        </w:rPr>
        <w:t>Id.</w:t>
      </w:r>
    </w:p>
  </w:footnote>
  <w:footnote w:id="73">
    <w:p w14:paraId="3404F48D" w14:textId="4BDBF600" w:rsidR="00140588" w:rsidRPr="00EA5020" w:rsidRDefault="00140588">
      <w:pPr>
        <w:pStyle w:val="FootnoteText"/>
      </w:pPr>
      <w:r w:rsidRPr="00EA5020">
        <w:rPr>
          <w:rStyle w:val="FootnoteReference"/>
        </w:rPr>
        <w:footnoteRef/>
      </w:r>
      <w:r w:rsidRPr="00EA5020">
        <w:t xml:space="preserve"> </w:t>
      </w:r>
      <w:r w:rsidR="008D7868" w:rsidRPr="00EA5020">
        <w:rPr>
          <w:i/>
          <w:iCs/>
        </w:rPr>
        <w:t>Id.</w:t>
      </w:r>
      <w:r w:rsidR="008D7868" w:rsidRPr="00EA5020">
        <w:t xml:space="preserve"> </w:t>
      </w:r>
      <w:r w:rsidRPr="00EA5020">
        <w:t xml:space="preserve">(citing </w:t>
      </w:r>
      <w:r w:rsidRPr="00EA5020">
        <w:rPr>
          <w:i/>
          <w:iCs/>
        </w:rPr>
        <w:t>FOP/ MPDLC v. MPD</w:t>
      </w:r>
      <w:r w:rsidRPr="00EA5020">
        <w:t>, 47 D.C. Reg. 1449, Slip Op. No. 607 at 5, PERB Case No. 99-U-44 (2000).</w:t>
      </w:r>
    </w:p>
  </w:footnote>
  <w:footnote w:id="74">
    <w:p w14:paraId="3D543B8B" w14:textId="4F50F046" w:rsidR="00140588" w:rsidRPr="00EA5020" w:rsidRDefault="00140588">
      <w:pPr>
        <w:pStyle w:val="FootnoteText"/>
      </w:pPr>
      <w:r w:rsidRPr="00EA5020">
        <w:rPr>
          <w:rStyle w:val="FootnoteReference"/>
        </w:rPr>
        <w:footnoteRef/>
      </w:r>
      <w:r w:rsidRPr="00EA5020">
        <w:t xml:space="preserve"> </w:t>
      </w:r>
      <w:r w:rsidRPr="00EA5020">
        <w:rPr>
          <w:i/>
          <w:iCs/>
        </w:rPr>
        <w:t>AFGE, Local 383 v. D.C. Dept. of Mental Health</w:t>
      </w:r>
      <w:r w:rsidRPr="00EA5020">
        <w:t xml:space="preserve"> at </w:t>
      </w:r>
      <w:r w:rsidR="009F53C4" w:rsidRPr="00EA5020">
        <w:t>8</w:t>
      </w:r>
      <w:r w:rsidR="00A373E4" w:rsidRPr="00EA5020">
        <w:t xml:space="preserve"> </w:t>
      </w:r>
      <w:r w:rsidRPr="00EA5020">
        <w:t>(citing</w:t>
      </w:r>
      <w:r w:rsidR="00490D00" w:rsidRPr="00EA5020">
        <w:t xml:space="preserve"> </w:t>
      </w:r>
      <w:r w:rsidR="00490D00" w:rsidRPr="00EA5020">
        <w:rPr>
          <w:i/>
          <w:iCs/>
        </w:rPr>
        <w:t>IBPO v D.C. Property Management,</w:t>
      </w:r>
      <w:r w:rsidR="00490D00" w:rsidRPr="00EA5020">
        <w:t xml:space="preserve"> 52 D.C.</w:t>
      </w:r>
      <w:r w:rsidR="00A373E4" w:rsidRPr="00EA5020">
        <w:t xml:space="preserve"> </w:t>
      </w:r>
      <w:r w:rsidR="00490D00" w:rsidRPr="00EA5020">
        <w:t>Reg.</w:t>
      </w:r>
      <w:r w:rsidR="009F53C4" w:rsidRPr="00EA5020">
        <w:t xml:space="preserve"> </w:t>
      </w:r>
      <w:r w:rsidR="00490D00" w:rsidRPr="00EA5020">
        <w:t>2488, Slip Op. No. 704, PERB Case No. 0l-U-03 (2003)</w:t>
      </w:r>
      <w:r w:rsidR="009F53C4" w:rsidRPr="00EA5020">
        <w:t>)</w:t>
      </w:r>
      <w:r w:rsidR="00490D00" w:rsidRPr="00EA502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4BFE1" w14:textId="50381C10" w:rsidR="00F44570" w:rsidRDefault="00F44570">
    <w:pPr>
      <w:pStyle w:val="Header"/>
    </w:pPr>
    <w:r>
      <w:t>Decision and Order</w:t>
    </w:r>
  </w:p>
  <w:p w14:paraId="13996DD4" w14:textId="453317B7" w:rsidR="00F44570" w:rsidRDefault="00F44570">
    <w:pPr>
      <w:pStyle w:val="Header"/>
    </w:pPr>
    <w:r>
      <w:t>PERB Case No. 22-</w:t>
    </w:r>
    <w:r w:rsidR="00123E28">
      <w:t>U-18</w:t>
    </w:r>
  </w:p>
  <w:sdt>
    <w:sdtPr>
      <w:id w:val="98381352"/>
      <w:docPartObj>
        <w:docPartGallery w:val="Page Numbers (Top of Page)"/>
        <w:docPartUnique/>
      </w:docPartObj>
    </w:sdtPr>
    <w:sdtEndPr/>
    <w:sdtContent>
      <w:p w14:paraId="338B72C7" w14:textId="7B645F30" w:rsidR="00F44570" w:rsidRPr="00AE1BB4" w:rsidRDefault="00F44570">
        <w:pPr>
          <w:pStyle w:val="Header"/>
        </w:pPr>
        <w:r w:rsidRPr="00AE1BB4">
          <w:t xml:space="preserve">Page </w:t>
        </w:r>
        <w:r w:rsidRPr="00AE1BB4">
          <w:rPr>
            <w:sz w:val="24"/>
            <w:szCs w:val="24"/>
          </w:rPr>
          <w:fldChar w:fldCharType="begin"/>
        </w:r>
        <w:r w:rsidRPr="00AE1BB4">
          <w:instrText xml:space="preserve"> PAGE </w:instrText>
        </w:r>
        <w:r w:rsidRPr="00AE1BB4">
          <w:rPr>
            <w:sz w:val="24"/>
            <w:szCs w:val="24"/>
          </w:rPr>
          <w:fldChar w:fldCharType="separate"/>
        </w:r>
        <w:r w:rsidRPr="00AE1BB4">
          <w:rPr>
            <w:noProof/>
          </w:rPr>
          <w:t>2</w:t>
        </w:r>
        <w:r w:rsidRPr="00AE1BB4">
          <w:rPr>
            <w:sz w:val="24"/>
            <w:szCs w:val="24"/>
          </w:rPr>
          <w:fldChar w:fldCharType="end"/>
        </w:r>
        <w:r w:rsidRPr="00AE1BB4">
          <w:t xml:space="preserve"> of </w:t>
        </w:r>
        <w:r w:rsidR="00C8261A">
          <w:fldChar w:fldCharType="begin"/>
        </w:r>
        <w:r w:rsidR="00C8261A">
          <w:instrText xml:space="preserve"> NUMPAGES  </w:instrText>
        </w:r>
        <w:r w:rsidR="00C8261A">
          <w:fldChar w:fldCharType="separate"/>
        </w:r>
        <w:r w:rsidRPr="00AE1BB4">
          <w:rPr>
            <w:noProof/>
          </w:rPr>
          <w:t>2</w:t>
        </w:r>
        <w:r w:rsidR="00C8261A">
          <w:rPr>
            <w:noProof/>
          </w:rPr>
          <w:fldChar w:fldCharType="end"/>
        </w:r>
      </w:p>
    </w:sdtContent>
  </w:sdt>
  <w:p w14:paraId="5708C866" w14:textId="77777777" w:rsidR="00F44570" w:rsidRDefault="00F44570">
    <w:pPr>
      <w:pStyle w:val="Header"/>
    </w:pPr>
  </w:p>
  <w:p w14:paraId="7DDD8537" w14:textId="77777777" w:rsidR="005E54CE" w:rsidRDefault="005E54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2A2F2" w14:textId="77777777" w:rsidR="0097125F" w:rsidRDefault="00C826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C36A4" w14:textId="0E1E1CEA" w:rsidR="00FC6F78" w:rsidRPr="00EA5020" w:rsidRDefault="00C8261A" w:rsidP="00EA50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370CD" w14:textId="6CCB1003" w:rsidR="00EA5020" w:rsidRPr="00EA5020" w:rsidRDefault="00EA5020" w:rsidP="00EA5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037B4"/>
    <w:multiLevelType w:val="hybridMultilevel"/>
    <w:tmpl w:val="4198E374"/>
    <w:lvl w:ilvl="0" w:tplc="04090015">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CE01ABC"/>
    <w:multiLevelType w:val="hybridMultilevel"/>
    <w:tmpl w:val="7308777A"/>
    <w:lvl w:ilvl="0" w:tplc="35AC6AF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14A152C"/>
    <w:multiLevelType w:val="hybridMultilevel"/>
    <w:tmpl w:val="F20C4262"/>
    <w:lvl w:ilvl="0" w:tplc="FFEC84D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E770B"/>
    <w:multiLevelType w:val="hybridMultilevel"/>
    <w:tmpl w:val="D132EBD8"/>
    <w:lvl w:ilvl="0" w:tplc="5BE4D02C">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D25045"/>
    <w:multiLevelType w:val="hybridMultilevel"/>
    <w:tmpl w:val="3C3A0B80"/>
    <w:lvl w:ilvl="0" w:tplc="1DF6BCD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96978019">
    <w:abstractNumId w:val="3"/>
  </w:num>
  <w:num w:numId="2" w16cid:durableId="2065640367">
    <w:abstractNumId w:val="1"/>
  </w:num>
  <w:num w:numId="3" w16cid:durableId="2061898529">
    <w:abstractNumId w:val="4"/>
  </w:num>
  <w:num w:numId="4" w16cid:durableId="153955855">
    <w:abstractNumId w:val="2"/>
  </w:num>
  <w:num w:numId="5" w16cid:durableId="124006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04B"/>
    <w:rsid w:val="0000391C"/>
    <w:rsid w:val="0001319D"/>
    <w:rsid w:val="00020E69"/>
    <w:rsid w:val="00023A48"/>
    <w:rsid w:val="00025357"/>
    <w:rsid w:val="00030DC6"/>
    <w:rsid w:val="00037E37"/>
    <w:rsid w:val="00041550"/>
    <w:rsid w:val="00044278"/>
    <w:rsid w:val="00045728"/>
    <w:rsid w:val="000466C1"/>
    <w:rsid w:val="000505B5"/>
    <w:rsid w:val="00051E9C"/>
    <w:rsid w:val="00053296"/>
    <w:rsid w:val="000539E0"/>
    <w:rsid w:val="00055323"/>
    <w:rsid w:val="00055E4F"/>
    <w:rsid w:val="00057B2E"/>
    <w:rsid w:val="00061D7C"/>
    <w:rsid w:val="00061E3D"/>
    <w:rsid w:val="00062C21"/>
    <w:rsid w:val="00063F79"/>
    <w:rsid w:val="000649BA"/>
    <w:rsid w:val="000657F0"/>
    <w:rsid w:val="00073AEB"/>
    <w:rsid w:val="00076B20"/>
    <w:rsid w:val="00080A6D"/>
    <w:rsid w:val="000816DD"/>
    <w:rsid w:val="0008467F"/>
    <w:rsid w:val="000863A8"/>
    <w:rsid w:val="00087017"/>
    <w:rsid w:val="00091B49"/>
    <w:rsid w:val="00092AA1"/>
    <w:rsid w:val="000932AE"/>
    <w:rsid w:val="00096252"/>
    <w:rsid w:val="000A4CA6"/>
    <w:rsid w:val="000A63C9"/>
    <w:rsid w:val="000B4135"/>
    <w:rsid w:val="000B4BFF"/>
    <w:rsid w:val="000B539A"/>
    <w:rsid w:val="000B56AE"/>
    <w:rsid w:val="000B57DB"/>
    <w:rsid w:val="000B7BF1"/>
    <w:rsid w:val="000C151C"/>
    <w:rsid w:val="000C43D1"/>
    <w:rsid w:val="000C6688"/>
    <w:rsid w:val="000D0336"/>
    <w:rsid w:val="000E0404"/>
    <w:rsid w:val="000F0A47"/>
    <w:rsid w:val="000F1BEC"/>
    <w:rsid w:val="000F2AEB"/>
    <w:rsid w:val="000F3D1B"/>
    <w:rsid w:val="000F44BB"/>
    <w:rsid w:val="001133A6"/>
    <w:rsid w:val="00116C51"/>
    <w:rsid w:val="001178E9"/>
    <w:rsid w:val="0012278F"/>
    <w:rsid w:val="00123E28"/>
    <w:rsid w:val="001269BE"/>
    <w:rsid w:val="00130DAE"/>
    <w:rsid w:val="00130DD5"/>
    <w:rsid w:val="001358D9"/>
    <w:rsid w:val="00140588"/>
    <w:rsid w:val="0014545D"/>
    <w:rsid w:val="00152066"/>
    <w:rsid w:val="00155806"/>
    <w:rsid w:val="001644C6"/>
    <w:rsid w:val="00170068"/>
    <w:rsid w:val="00176B7C"/>
    <w:rsid w:val="00181468"/>
    <w:rsid w:val="00183E88"/>
    <w:rsid w:val="00191F8D"/>
    <w:rsid w:val="00194820"/>
    <w:rsid w:val="00195A05"/>
    <w:rsid w:val="00196ED0"/>
    <w:rsid w:val="001A376E"/>
    <w:rsid w:val="001A5B66"/>
    <w:rsid w:val="001B6836"/>
    <w:rsid w:val="001C0045"/>
    <w:rsid w:val="001C6216"/>
    <w:rsid w:val="001C74B1"/>
    <w:rsid w:val="001D2E76"/>
    <w:rsid w:val="001E4581"/>
    <w:rsid w:val="001E4E40"/>
    <w:rsid w:val="001E569E"/>
    <w:rsid w:val="001E6BED"/>
    <w:rsid w:val="001E7899"/>
    <w:rsid w:val="001E7F65"/>
    <w:rsid w:val="001F488E"/>
    <w:rsid w:val="001F5881"/>
    <w:rsid w:val="001F6B30"/>
    <w:rsid w:val="001F7AA6"/>
    <w:rsid w:val="001F7B8A"/>
    <w:rsid w:val="00200135"/>
    <w:rsid w:val="00200678"/>
    <w:rsid w:val="00201302"/>
    <w:rsid w:val="00202339"/>
    <w:rsid w:val="00215BD9"/>
    <w:rsid w:val="002173BF"/>
    <w:rsid w:val="00235241"/>
    <w:rsid w:val="00244F5B"/>
    <w:rsid w:val="0025266C"/>
    <w:rsid w:val="00254AA3"/>
    <w:rsid w:val="002557C9"/>
    <w:rsid w:val="002565F8"/>
    <w:rsid w:val="0025787E"/>
    <w:rsid w:val="00263ED2"/>
    <w:rsid w:val="00264128"/>
    <w:rsid w:val="0026559A"/>
    <w:rsid w:val="002771B6"/>
    <w:rsid w:val="00281A5E"/>
    <w:rsid w:val="002861D5"/>
    <w:rsid w:val="00287788"/>
    <w:rsid w:val="00291338"/>
    <w:rsid w:val="002968A8"/>
    <w:rsid w:val="002A7F01"/>
    <w:rsid w:val="002B0170"/>
    <w:rsid w:val="002B25AC"/>
    <w:rsid w:val="002B2CA0"/>
    <w:rsid w:val="002B359F"/>
    <w:rsid w:val="002C1D93"/>
    <w:rsid w:val="002D01D4"/>
    <w:rsid w:val="002D5E21"/>
    <w:rsid w:val="002D6AFD"/>
    <w:rsid w:val="002D6F25"/>
    <w:rsid w:val="002E03FC"/>
    <w:rsid w:val="002E4809"/>
    <w:rsid w:val="002F2D56"/>
    <w:rsid w:val="002F3B25"/>
    <w:rsid w:val="002F565D"/>
    <w:rsid w:val="0030093F"/>
    <w:rsid w:val="003042EC"/>
    <w:rsid w:val="00305897"/>
    <w:rsid w:val="0030767B"/>
    <w:rsid w:val="003119B1"/>
    <w:rsid w:val="00312350"/>
    <w:rsid w:val="003135B8"/>
    <w:rsid w:val="0031391C"/>
    <w:rsid w:val="00314BD8"/>
    <w:rsid w:val="003162D9"/>
    <w:rsid w:val="00317801"/>
    <w:rsid w:val="00321304"/>
    <w:rsid w:val="0032226E"/>
    <w:rsid w:val="00327EE5"/>
    <w:rsid w:val="00334ED2"/>
    <w:rsid w:val="00345915"/>
    <w:rsid w:val="0034708E"/>
    <w:rsid w:val="003522C1"/>
    <w:rsid w:val="00354150"/>
    <w:rsid w:val="00356C63"/>
    <w:rsid w:val="0036356F"/>
    <w:rsid w:val="003644ED"/>
    <w:rsid w:val="00364F33"/>
    <w:rsid w:val="00366849"/>
    <w:rsid w:val="00370E55"/>
    <w:rsid w:val="00380271"/>
    <w:rsid w:val="0038048E"/>
    <w:rsid w:val="00382091"/>
    <w:rsid w:val="00392050"/>
    <w:rsid w:val="0039467C"/>
    <w:rsid w:val="00397FA1"/>
    <w:rsid w:val="003A4A95"/>
    <w:rsid w:val="003A6A1A"/>
    <w:rsid w:val="003A7AF0"/>
    <w:rsid w:val="003B30D2"/>
    <w:rsid w:val="003B6A7A"/>
    <w:rsid w:val="003B6D93"/>
    <w:rsid w:val="003C102F"/>
    <w:rsid w:val="003C24FF"/>
    <w:rsid w:val="003C6FB0"/>
    <w:rsid w:val="003C75BE"/>
    <w:rsid w:val="003D3A17"/>
    <w:rsid w:val="003E00CD"/>
    <w:rsid w:val="003E03CC"/>
    <w:rsid w:val="003E2A45"/>
    <w:rsid w:val="003E33B5"/>
    <w:rsid w:val="003E3F5C"/>
    <w:rsid w:val="003E5EE1"/>
    <w:rsid w:val="003F50D0"/>
    <w:rsid w:val="003F65C3"/>
    <w:rsid w:val="004027D2"/>
    <w:rsid w:val="00405953"/>
    <w:rsid w:val="0041137A"/>
    <w:rsid w:val="00411B10"/>
    <w:rsid w:val="00420078"/>
    <w:rsid w:val="00420DF5"/>
    <w:rsid w:val="00424483"/>
    <w:rsid w:val="00425F00"/>
    <w:rsid w:val="004306F6"/>
    <w:rsid w:val="004318F3"/>
    <w:rsid w:val="00432F69"/>
    <w:rsid w:val="00433804"/>
    <w:rsid w:val="0043387D"/>
    <w:rsid w:val="00435AFB"/>
    <w:rsid w:val="00441759"/>
    <w:rsid w:val="004448B1"/>
    <w:rsid w:val="00445513"/>
    <w:rsid w:val="0044727A"/>
    <w:rsid w:val="004501D6"/>
    <w:rsid w:val="004505A3"/>
    <w:rsid w:val="00450D36"/>
    <w:rsid w:val="00451C19"/>
    <w:rsid w:val="00453029"/>
    <w:rsid w:val="00457CDB"/>
    <w:rsid w:val="00457F62"/>
    <w:rsid w:val="00461DB9"/>
    <w:rsid w:val="00467035"/>
    <w:rsid w:val="004677D2"/>
    <w:rsid w:val="00473968"/>
    <w:rsid w:val="004758A2"/>
    <w:rsid w:val="00483EAC"/>
    <w:rsid w:val="004862BA"/>
    <w:rsid w:val="004864D3"/>
    <w:rsid w:val="00486739"/>
    <w:rsid w:val="00490D00"/>
    <w:rsid w:val="004A4315"/>
    <w:rsid w:val="004A4868"/>
    <w:rsid w:val="004A7268"/>
    <w:rsid w:val="004A7ABB"/>
    <w:rsid w:val="004B098B"/>
    <w:rsid w:val="004B0DAE"/>
    <w:rsid w:val="004B0DEC"/>
    <w:rsid w:val="004B1BA4"/>
    <w:rsid w:val="004C05AE"/>
    <w:rsid w:val="004C1F46"/>
    <w:rsid w:val="004C346F"/>
    <w:rsid w:val="004C498F"/>
    <w:rsid w:val="004C596C"/>
    <w:rsid w:val="004C7866"/>
    <w:rsid w:val="004C7C6D"/>
    <w:rsid w:val="004D632F"/>
    <w:rsid w:val="004E2046"/>
    <w:rsid w:val="004E3C19"/>
    <w:rsid w:val="004E4F2B"/>
    <w:rsid w:val="004E7CB7"/>
    <w:rsid w:val="004F02EC"/>
    <w:rsid w:val="004F2918"/>
    <w:rsid w:val="005043C0"/>
    <w:rsid w:val="00513F10"/>
    <w:rsid w:val="00525C5A"/>
    <w:rsid w:val="00526824"/>
    <w:rsid w:val="00526E8B"/>
    <w:rsid w:val="00533A77"/>
    <w:rsid w:val="00533CEC"/>
    <w:rsid w:val="00540425"/>
    <w:rsid w:val="0054271B"/>
    <w:rsid w:val="005443C8"/>
    <w:rsid w:val="0054697C"/>
    <w:rsid w:val="0055080D"/>
    <w:rsid w:val="00550995"/>
    <w:rsid w:val="0055616C"/>
    <w:rsid w:val="0056163B"/>
    <w:rsid w:val="00567A17"/>
    <w:rsid w:val="0057004C"/>
    <w:rsid w:val="00572451"/>
    <w:rsid w:val="0057337F"/>
    <w:rsid w:val="00573850"/>
    <w:rsid w:val="005739D3"/>
    <w:rsid w:val="0058410C"/>
    <w:rsid w:val="0058590D"/>
    <w:rsid w:val="00591015"/>
    <w:rsid w:val="005934A6"/>
    <w:rsid w:val="00593B31"/>
    <w:rsid w:val="00595B44"/>
    <w:rsid w:val="00596A37"/>
    <w:rsid w:val="00596D40"/>
    <w:rsid w:val="005A42F0"/>
    <w:rsid w:val="005A56A3"/>
    <w:rsid w:val="005A7AD5"/>
    <w:rsid w:val="005B28E3"/>
    <w:rsid w:val="005B2A3D"/>
    <w:rsid w:val="005B5D9B"/>
    <w:rsid w:val="005C5185"/>
    <w:rsid w:val="005C557E"/>
    <w:rsid w:val="005D210D"/>
    <w:rsid w:val="005D28F0"/>
    <w:rsid w:val="005D2A85"/>
    <w:rsid w:val="005D7628"/>
    <w:rsid w:val="005D7D31"/>
    <w:rsid w:val="005E12AD"/>
    <w:rsid w:val="005E274B"/>
    <w:rsid w:val="005E54CE"/>
    <w:rsid w:val="005F0490"/>
    <w:rsid w:val="005F0DE8"/>
    <w:rsid w:val="005F27F7"/>
    <w:rsid w:val="005F5942"/>
    <w:rsid w:val="005F7639"/>
    <w:rsid w:val="00603575"/>
    <w:rsid w:val="00604193"/>
    <w:rsid w:val="00611D31"/>
    <w:rsid w:val="00615385"/>
    <w:rsid w:val="00615C58"/>
    <w:rsid w:val="0062378F"/>
    <w:rsid w:val="00627042"/>
    <w:rsid w:val="00627668"/>
    <w:rsid w:val="00632763"/>
    <w:rsid w:val="00650855"/>
    <w:rsid w:val="00651283"/>
    <w:rsid w:val="006538BD"/>
    <w:rsid w:val="006630DC"/>
    <w:rsid w:val="006652F8"/>
    <w:rsid w:val="00667E08"/>
    <w:rsid w:val="006726B2"/>
    <w:rsid w:val="00674034"/>
    <w:rsid w:val="00675D3F"/>
    <w:rsid w:val="00684100"/>
    <w:rsid w:val="0068484B"/>
    <w:rsid w:val="00684A5C"/>
    <w:rsid w:val="00691A84"/>
    <w:rsid w:val="0069324A"/>
    <w:rsid w:val="0069486F"/>
    <w:rsid w:val="006950F6"/>
    <w:rsid w:val="006958D0"/>
    <w:rsid w:val="006968A1"/>
    <w:rsid w:val="00696C44"/>
    <w:rsid w:val="006A0A66"/>
    <w:rsid w:val="006A0BE2"/>
    <w:rsid w:val="006A4674"/>
    <w:rsid w:val="006A4E37"/>
    <w:rsid w:val="006A5CCF"/>
    <w:rsid w:val="006A6E84"/>
    <w:rsid w:val="006B148C"/>
    <w:rsid w:val="006B3F27"/>
    <w:rsid w:val="006B42E6"/>
    <w:rsid w:val="006B69F7"/>
    <w:rsid w:val="006C481B"/>
    <w:rsid w:val="006C62D4"/>
    <w:rsid w:val="006C7414"/>
    <w:rsid w:val="006D106D"/>
    <w:rsid w:val="006D3144"/>
    <w:rsid w:val="006D4221"/>
    <w:rsid w:val="006D5301"/>
    <w:rsid w:val="006E3BBD"/>
    <w:rsid w:val="006E485B"/>
    <w:rsid w:val="006F4728"/>
    <w:rsid w:val="00704126"/>
    <w:rsid w:val="00704378"/>
    <w:rsid w:val="007131C2"/>
    <w:rsid w:val="007144BB"/>
    <w:rsid w:val="00714873"/>
    <w:rsid w:val="007149B3"/>
    <w:rsid w:val="0071634A"/>
    <w:rsid w:val="00717E39"/>
    <w:rsid w:val="00721023"/>
    <w:rsid w:val="00726ED1"/>
    <w:rsid w:val="00727FD5"/>
    <w:rsid w:val="007302E5"/>
    <w:rsid w:val="00735163"/>
    <w:rsid w:val="00737801"/>
    <w:rsid w:val="0074193A"/>
    <w:rsid w:val="00743C0B"/>
    <w:rsid w:val="00745309"/>
    <w:rsid w:val="00746D2A"/>
    <w:rsid w:val="007528F1"/>
    <w:rsid w:val="00754595"/>
    <w:rsid w:val="00757962"/>
    <w:rsid w:val="00760726"/>
    <w:rsid w:val="0076158C"/>
    <w:rsid w:val="007672BA"/>
    <w:rsid w:val="0078359A"/>
    <w:rsid w:val="00783F30"/>
    <w:rsid w:val="00784B25"/>
    <w:rsid w:val="0078545B"/>
    <w:rsid w:val="00786DFC"/>
    <w:rsid w:val="0079396C"/>
    <w:rsid w:val="007A35F0"/>
    <w:rsid w:val="007A5614"/>
    <w:rsid w:val="007A5A18"/>
    <w:rsid w:val="007A5C81"/>
    <w:rsid w:val="007B1E0E"/>
    <w:rsid w:val="007B1F69"/>
    <w:rsid w:val="007B23A3"/>
    <w:rsid w:val="007B36F3"/>
    <w:rsid w:val="007B4193"/>
    <w:rsid w:val="007B6C25"/>
    <w:rsid w:val="007D0718"/>
    <w:rsid w:val="007D0729"/>
    <w:rsid w:val="007E156A"/>
    <w:rsid w:val="007E4DF9"/>
    <w:rsid w:val="007E53A1"/>
    <w:rsid w:val="007E6AE6"/>
    <w:rsid w:val="007F2C4B"/>
    <w:rsid w:val="007F4AC7"/>
    <w:rsid w:val="007F4F26"/>
    <w:rsid w:val="0080185B"/>
    <w:rsid w:val="0080213D"/>
    <w:rsid w:val="0080299F"/>
    <w:rsid w:val="00806CC6"/>
    <w:rsid w:val="0080783D"/>
    <w:rsid w:val="00807D61"/>
    <w:rsid w:val="0081097B"/>
    <w:rsid w:val="00811C07"/>
    <w:rsid w:val="00812CF3"/>
    <w:rsid w:val="00813AAA"/>
    <w:rsid w:val="008218D7"/>
    <w:rsid w:val="00822293"/>
    <w:rsid w:val="0082241C"/>
    <w:rsid w:val="00832FAA"/>
    <w:rsid w:val="00843015"/>
    <w:rsid w:val="0084385A"/>
    <w:rsid w:val="008501B9"/>
    <w:rsid w:val="008518C7"/>
    <w:rsid w:val="00855B05"/>
    <w:rsid w:val="00857AEF"/>
    <w:rsid w:val="0086003B"/>
    <w:rsid w:val="00860107"/>
    <w:rsid w:val="00863DC4"/>
    <w:rsid w:val="00867870"/>
    <w:rsid w:val="008736BE"/>
    <w:rsid w:val="00875B2B"/>
    <w:rsid w:val="0087672F"/>
    <w:rsid w:val="00877FC6"/>
    <w:rsid w:val="00880615"/>
    <w:rsid w:val="0088104B"/>
    <w:rsid w:val="0088244E"/>
    <w:rsid w:val="00882A5B"/>
    <w:rsid w:val="00882E66"/>
    <w:rsid w:val="0089236F"/>
    <w:rsid w:val="00892D6E"/>
    <w:rsid w:val="008936C6"/>
    <w:rsid w:val="008951E2"/>
    <w:rsid w:val="008A2D05"/>
    <w:rsid w:val="008B23E5"/>
    <w:rsid w:val="008C396D"/>
    <w:rsid w:val="008C48EF"/>
    <w:rsid w:val="008C4A9F"/>
    <w:rsid w:val="008D3C10"/>
    <w:rsid w:val="008D4469"/>
    <w:rsid w:val="008D7868"/>
    <w:rsid w:val="008E5CC9"/>
    <w:rsid w:val="008F4B0B"/>
    <w:rsid w:val="008F7371"/>
    <w:rsid w:val="00901B1F"/>
    <w:rsid w:val="00902C0C"/>
    <w:rsid w:val="0090392F"/>
    <w:rsid w:val="00905196"/>
    <w:rsid w:val="00905335"/>
    <w:rsid w:val="00913569"/>
    <w:rsid w:val="00913B84"/>
    <w:rsid w:val="0091438C"/>
    <w:rsid w:val="00921175"/>
    <w:rsid w:val="00921F8D"/>
    <w:rsid w:val="009254FC"/>
    <w:rsid w:val="0093167D"/>
    <w:rsid w:val="00941060"/>
    <w:rsid w:val="00945C82"/>
    <w:rsid w:val="00946590"/>
    <w:rsid w:val="009467C8"/>
    <w:rsid w:val="0095309F"/>
    <w:rsid w:val="00971394"/>
    <w:rsid w:val="009718A1"/>
    <w:rsid w:val="00975630"/>
    <w:rsid w:val="0098215E"/>
    <w:rsid w:val="0098250C"/>
    <w:rsid w:val="00983788"/>
    <w:rsid w:val="0098534B"/>
    <w:rsid w:val="00991A4E"/>
    <w:rsid w:val="009971AD"/>
    <w:rsid w:val="009A4521"/>
    <w:rsid w:val="009A4A1F"/>
    <w:rsid w:val="009B1F38"/>
    <w:rsid w:val="009B4164"/>
    <w:rsid w:val="009C120E"/>
    <w:rsid w:val="009C377D"/>
    <w:rsid w:val="009C5A9F"/>
    <w:rsid w:val="009C76E7"/>
    <w:rsid w:val="009D1A05"/>
    <w:rsid w:val="009D51DF"/>
    <w:rsid w:val="009E1A36"/>
    <w:rsid w:val="009E2592"/>
    <w:rsid w:val="009E3A1A"/>
    <w:rsid w:val="009E4DA6"/>
    <w:rsid w:val="009E6995"/>
    <w:rsid w:val="009E6E98"/>
    <w:rsid w:val="009E76D4"/>
    <w:rsid w:val="009F3CE8"/>
    <w:rsid w:val="009F3ECF"/>
    <w:rsid w:val="009F4923"/>
    <w:rsid w:val="009F53C4"/>
    <w:rsid w:val="00A00039"/>
    <w:rsid w:val="00A138F7"/>
    <w:rsid w:val="00A1393C"/>
    <w:rsid w:val="00A15A39"/>
    <w:rsid w:val="00A15F2F"/>
    <w:rsid w:val="00A16A1E"/>
    <w:rsid w:val="00A1704C"/>
    <w:rsid w:val="00A17416"/>
    <w:rsid w:val="00A21DA6"/>
    <w:rsid w:val="00A25EDD"/>
    <w:rsid w:val="00A30555"/>
    <w:rsid w:val="00A31144"/>
    <w:rsid w:val="00A35C36"/>
    <w:rsid w:val="00A36B72"/>
    <w:rsid w:val="00A373E4"/>
    <w:rsid w:val="00A40D1D"/>
    <w:rsid w:val="00A467C1"/>
    <w:rsid w:val="00A46C52"/>
    <w:rsid w:val="00A5018C"/>
    <w:rsid w:val="00A5372F"/>
    <w:rsid w:val="00A539B6"/>
    <w:rsid w:val="00A54D9B"/>
    <w:rsid w:val="00A64BE4"/>
    <w:rsid w:val="00A717A8"/>
    <w:rsid w:val="00A737B4"/>
    <w:rsid w:val="00A77A87"/>
    <w:rsid w:val="00A81B93"/>
    <w:rsid w:val="00A8731E"/>
    <w:rsid w:val="00A9658E"/>
    <w:rsid w:val="00A97DE4"/>
    <w:rsid w:val="00AA10A0"/>
    <w:rsid w:val="00AA214A"/>
    <w:rsid w:val="00AA3633"/>
    <w:rsid w:val="00AA68F7"/>
    <w:rsid w:val="00AA7F1D"/>
    <w:rsid w:val="00AB3D5E"/>
    <w:rsid w:val="00AB51C6"/>
    <w:rsid w:val="00AB5C08"/>
    <w:rsid w:val="00AB6022"/>
    <w:rsid w:val="00AB7F93"/>
    <w:rsid w:val="00AC58A1"/>
    <w:rsid w:val="00AD0E92"/>
    <w:rsid w:val="00AD1596"/>
    <w:rsid w:val="00AD279F"/>
    <w:rsid w:val="00AD294D"/>
    <w:rsid w:val="00AD3999"/>
    <w:rsid w:val="00AD6491"/>
    <w:rsid w:val="00AE1BB4"/>
    <w:rsid w:val="00AE76F2"/>
    <w:rsid w:val="00AE785F"/>
    <w:rsid w:val="00AF48DF"/>
    <w:rsid w:val="00AF698D"/>
    <w:rsid w:val="00B017B1"/>
    <w:rsid w:val="00B06ADF"/>
    <w:rsid w:val="00B10498"/>
    <w:rsid w:val="00B12350"/>
    <w:rsid w:val="00B12A0D"/>
    <w:rsid w:val="00B12B75"/>
    <w:rsid w:val="00B12F04"/>
    <w:rsid w:val="00B27D80"/>
    <w:rsid w:val="00B34681"/>
    <w:rsid w:val="00B35608"/>
    <w:rsid w:val="00B43DEE"/>
    <w:rsid w:val="00B442A3"/>
    <w:rsid w:val="00B473E4"/>
    <w:rsid w:val="00B5147B"/>
    <w:rsid w:val="00B717B3"/>
    <w:rsid w:val="00B75225"/>
    <w:rsid w:val="00B76453"/>
    <w:rsid w:val="00B8283E"/>
    <w:rsid w:val="00B837DA"/>
    <w:rsid w:val="00B924C4"/>
    <w:rsid w:val="00B94C82"/>
    <w:rsid w:val="00B97CC4"/>
    <w:rsid w:val="00BA0859"/>
    <w:rsid w:val="00BA0B4A"/>
    <w:rsid w:val="00BA2A2D"/>
    <w:rsid w:val="00BA4B67"/>
    <w:rsid w:val="00BA6B1D"/>
    <w:rsid w:val="00BB4F34"/>
    <w:rsid w:val="00BC0C7F"/>
    <w:rsid w:val="00BC1376"/>
    <w:rsid w:val="00BC1BDF"/>
    <w:rsid w:val="00BC5C05"/>
    <w:rsid w:val="00BD012D"/>
    <w:rsid w:val="00BD0875"/>
    <w:rsid w:val="00BD1EDC"/>
    <w:rsid w:val="00BD316D"/>
    <w:rsid w:val="00BD37D5"/>
    <w:rsid w:val="00BD55A8"/>
    <w:rsid w:val="00BD5E64"/>
    <w:rsid w:val="00BD698A"/>
    <w:rsid w:val="00BD7A30"/>
    <w:rsid w:val="00BE0F05"/>
    <w:rsid w:val="00BF1D33"/>
    <w:rsid w:val="00BF29C9"/>
    <w:rsid w:val="00C053A6"/>
    <w:rsid w:val="00C07542"/>
    <w:rsid w:val="00C1164C"/>
    <w:rsid w:val="00C11E42"/>
    <w:rsid w:val="00C138A1"/>
    <w:rsid w:val="00C13A48"/>
    <w:rsid w:val="00C24F91"/>
    <w:rsid w:val="00C30DC1"/>
    <w:rsid w:val="00C33C72"/>
    <w:rsid w:val="00C3432F"/>
    <w:rsid w:val="00C34521"/>
    <w:rsid w:val="00C362C6"/>
    <w:rsid w:val="00C40993"/>
    <w:rsid w:val="00C42A29"/>
    <w:rsid w:val="00C456AB"/>
    <w:rsid w:val="00C457F3"/>
    <w:rsid w:val="00C50994"/>
    <w:rsid w:val="00C511E0"/>
    <w:rsid w:val="00C51E65"/>
    <w:rsid w:val="00C528AB"/>
    <w:rsid w:val="00C54388"/>
    <w:rsid w:val="00C54758"/>
    <w:rsid w:val="00C55754"/>
    <w:rsid w:val="00C577C6"/>
    <w:rsid w:val="00C63AF8"/>
    <w:rsid w:val="00C6598B"/>
    <w:rsid w:val="00C66249"/>
    <w:rsid w:val="00C67962"/>
    <w:rsid w:val="00C725EA"/>
    <w:rsid w:val="00C72926"/>
    <w:rsid w:val="00C76832"/>
    <w:rsid w:val="00C76838"/>
    <w:rsid w:val="00C77F42"/>
    <w:rsid w:val="00C81ACF"/>
    <w:rsid w:val="00C81AE5"/>
    <w:rsid w:val="00C8261A"/>
    <w:rsid w:val="00C86EEC"/>
    <w:rsid w:val="00C878AF"/>
    <w:rsid w:val="00C87AF4"/>
    <w:rsid w:val="00C95A6F"/>
    <w:rsid w:val="00C96937"/>
    <w:rsid w:val="00C9700B"/>
    <w:rsid w:val="00CA15EC"/>
    <w:rsid w:val="00CA3525"/>
    <w:rsid w:val="00CB0DF8"/>
    <w:rsid w:val="00CB4D31"/>
    <w:rsid w:val="00CC57B0"/>
    <w:rsid w:val="00CD0956"/>
    <w:rsid w:val="00CD30B2"/>
    <w:rsid w:val="00CD3A50"/>
    <w:rsid w:val="00CD50B6"/>
    <w:rsid w:val="00CE04F7"/>
    <w:rsid w:val="00CE1B77"/>
    <w:rsid w:val="00CF0EC4"/>
    <w:rsid w:val="00CF26E1"/>
    <w:rsid w:val="00CF6B89"/>
    <w:rsid w:val="00D0323B"/>
    <w:rsid w:val="00D04E18"/>
    <w:rsid w:val="00D11E60"/>
    <w:rsid w:val="00D125B8"/>
    <w:rsid w:val="00D14524"/>
    <w:rsid w:val="00D2264E"/>
    <w:rsid w:val="00D261E1"/>
    <w:rsid w:val="00D303AE"/>
    <w:rsid w:val="00D304D0"/>
    <w:rsid w:val="00D356F6"/>
    <w:rsid w:val="00D358F9"/>
    <w:rsid w:val="00D41C6E"/>
    <w:rsid w:val="00D423D7"/>
    <w:rsid w:val="00D45953"/>
    <w:rsid w:val="00D46096"/>
    <w:rsid w:val="00D51DB4"/>
    <w:rsid w:val="00D539C0"/>
    <w:rsid w:val="00D53BA1"/>
    <w:rsid w:val="00D573B9"/>
    <w:rsid w:val="00D63F63"/>
    <w:rsid w:val="00D676DA"/>
    <w:rsid w:val="00D72663"/>
    <w:rsid w:val="00D762E3"/>
    <w:rsid w:val="00D81B55"/>
    <w:rsid w:val="00D8575B"/>
    <w:rsid w:val="00D9051A"/>
    <w:rsid w:val="00D938DA"/>
    <w:rsid w:val="00D93F06"/>
    <w:rsid w:val="00D947A3"/>
    <w:rsid w:val="00D94E5A"/>
    <w:rsid w:val="00D97A85"/>
    <w:rsid w:val="00DA10BE"/>
    <w:rsid w:val="00DA36B7"/>
    <w:rsid w:val="00DB38EF"/>
    <w:rsid w:val="00DB6199"/>
    <w:rsid w:val="00DB7D6F"/>
    <w:rsid w:val="00DC0E6F"/>
    <w:rsid w:val="00DC32C3"/>
    <w:rsid w:val="00DC3F0B"/>
    <w:rsid w:val="00DC6EC4"/>
    <w:rsid w:val="00DD0407"/>
    <w:rsid w:val="00DD4906"/>
    <w:rsid w:val="00DD5CB9"/>
    <w:rsid w:val="00DE0226"/>
    <w:rsid w:val="00DF05B7"/>
    <w:rsid w:val="00DF0F53"/>
    <w:rsid w:val="00DF4826"/>
    <w:rsid w:val="00E016EB"/>
    <w:rsid w:val="00E028F8"/>
    <w:rsid w:val="00E02A88"/>
    <w:rsid w:val="00E03A4A"/>
    <w:rsid w:val="00E14C27"/>
    <w:rsid w:val="00E14EF9"/>
    <w:rsid w:val="00E17B9C"/>
    <w:rsid w:val="00E216B7"/>
    <w:rsid w:val="00E2209A"/>
    <w:rsid w:val="00E25CDA"/>
    <w:rsid w:val="00E337E0"/>
    <w:rsid w:val="00E34B83"/>
    <w:rsid w:val="00E404FF"/>
    <w:rsid w:val="00E40B32"/>
    <w:rsid w:val="00E458EE"/>
    <w:rsid w:val="00E478FA"/>
    <w:rsid w:val="00E51C18"/>
    <w:rsid w:val="00E55458"/>
    <w:rsid w:val="00E57DF5"/>
    <w:rsid w:val="00E623F6"/>
    <w:rsid w:val="00E639ED"/>
    <w:rsid w:val="00E71807"/>
    <w:rsid w:val="00E761BA"/>
    <w:rsid w:val="00E82F20"/>
    <w:rsid w:val="00E8475B"/>
    <w:rsid w:val="00E87A80"/>
    <w:rsid w:val="00E902F5"/>
    <w:rsid w:val="00E90576"/>
    <w:rsid w:val="00E91422"/>
    <w:rsid w:val="00E928A5"/>
    <w:rsid w:val="00E9377F"/>
    <w:rsid w:val="00E969D9"/>
    <w:rsid w:val="00E972BA"/>
    <w:rsid w:val="00EA0541"/>
    <w:rsid w:val="00EA3F60"/>
    <w:rsid w:val="00EA5020"/>
    <w:rsid w:val="00EA5ECF"/>
    <w:rsid w:val="00EB2420"/>
    <w:rsid w:val="00EB3EBC"/>
    <w:rsid w:val="00EB5911"/>
    <w:rsid w:val="00EB5C63"/>
    <w:rsid w:val="00EC30A6"/>
    <w:rsid w:val="00ED08A3"/>
    <w:rsid w:val="00ED378A"/>
    <w:rsid w:val="00EE2DE9"/>
    <w:rsid w:val="00EE388F"/>
    <w:rsid w:val="00EE5950"/>
    <w:rsid w:val="00EE68D6"/>
    <w:rsid w:val="00EE697B"/>
    <w:rsid w:val="00EF5ECD"/>
    <w:rsid w:val="00EF6C39"/>
    <w:rsid w:val="00F005FD"/>
    <w:rsid w:val="00F02954"/>
    <w:rsid w:val="00F05468"/>
    <w:rsid w:val="00F10FC5"/>
    <w:rsid w:val="00F11B44"/>
    <w:rsid w:val="00F16188"/>
    <w:rsid w:val="00F20849"/>
    <w:rsid w:val="00F22728"/>
    <w:rsid w:val="00F2584B"/>
    <w:rsid w:val="00F2793B"/>
    <w:rsid w:val="00F315BF"/>
    <w:rsid w:val="00F31AF9"/>
    <w:rsid w:val="00F37A26"/>
    <w:rsid w:val="00F43CB3"/>
    <w:rsid w:val="00F44570"/>
    <w:rsid w:val="00F5057F"/>
    <w:rsid w:val="00F51145"/>
    <w:rsid w:val="00F54852"/>
    <w:rsid w:val="00F551AD"/>
    <w:rsid w:val="00F56105"/>
    <w:rsid w:val="00F573FA"/>
    <w:rsid w:val="00F57FF4"/>
    <w:rsid w:val="00F60791"/>
    <w:rsid w:val="00F60BC4"/>
    <w:rsid w:val="00F60CB3"/>
    <w:rsid w:val="00F639B3"/>
    <w:rsid w:val="00F63E23"/>
    <w:rsid w:val="00F718E2"/>
    <w:rsid w:val="00F74005"/>
    <w:rsid w:val="00F74237"/>
    <w:rsid w:val="00F759EF"/>
    <w:rsid w:val="00F878C1"/>
    <w:rsid w:val="00F91706"/>
    <w:rsid w:val="00F91A21"/>
    <w:rsid w:val="00F91BD9"/>
    <w:rsid w:val="00F94E83"/>
    <w:rsid w:val="00F95344"/>
    <w:rsid w:val="00F957FB"/>
    <w:rsid w:val="00F97CCE"/>
    <w:rsid w:val="00FA08C5"/>
    <w:rsid w:val="00FB052C"/>
    <w:rsid w:val="00FB6254"/>
    <w:rsid w:val="00FC3365"/>
    <w:rsid w:val="00FC7996"/>
    <w:rsid w:val="00FD293C"/>
    <w:rsid w:val="00FD4D11"/>
    <w:rsid w:val="00FE3FCD"/>
    <w:rsid w:val="00FF3E35"/>
    <w:rsid w:val="00FF660F"/>
    <w:rsid w:val="00FF6823"/>
    <w:rsid w:val="02C41981"/>
    <w:rsid w:val="056DC5BE"/>
    <w:rsid w:val="15AF5D23"/>
    <w:rsid w:val="169BF329"/>
    <w:rsid w:val="1A709838"/>
    <w:rsid w:val="1AB58F27"/>
    <w:rsid w:val="1E3A6D72"/>
    <w:rsid w:val="20E07134"/>
    <w:rsid w:val="210811E1"/>
    <w:rsid w:val="25CD5111"/>
    <w:rsid w:val="27F74FEC"/>
    <w:rsid w:val="287F0823"/>
    <w:rsid w:val="2E918C1C"/>
    <w:rsid w:val="301F906F"/>
    <w:rsid w:val="3301270F"/>
    <w:rsid w:val="3531087B"/>
    <w:rsid w:val="3DAE68E0"/>
    <w:rsid w:val="3F84F05D"/>
    <w:rsid w:val="44E6FC44"/>
    <w:rsid w:val="5032739E"/>
    <w:rsid w:val="56A2F13F"/>
    <w:rsid w:val="5795771A"/>
    <w:rsid w:val="5985BE6C"/>
    <w:rsid w:val="6791E6A2"/>
    <w:rsid w:val="6944397F"/>
    <w:rsid w:val="7301C99C"/>
    <w:rsid w:val="784E79AB"/>
    <w:rsid w:val="791A5E88"/>
    <w:rsid w:val="79375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97761"/>
  <w15:chartTrackingRefBased/>
  <w15:docId w15:val="{85F6D061-3D17-427A-9EBC-6962301EB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D80"/>
    <w:pPr>
      <w:spacing w:after="200" w:line="276" w:lineRule="auto"/>
    </w:pPr>
    <w:rPr>
      <w:rFonts w:eastAsia="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42F0"/>
    <w:pPr>
      <w:spacing w:after="0" w:line="240" w:lineRule="auto"/>
    </w:pPr>
  </w:style>
  <w:style w:type="paragraph" w:styleId="ListParagraph">
    <w:name w:val="List Paragraph"/>
    <w:basedOn w:val="Normal"/>
    <w:uiPriority w:val="34"/>
    <w:qFormat/>
    <w:rsid w:val="003E3F5C"/>
    <w:pPr>
      <w:spacing w:after="160" w:line="259" w:lineRule="auto"/>
      <w:ind w:left="720"/>
      <w:contextualSpacing/>
    </w:pPr>
    <w:rPr>
      <w:rFonts w:eastAsiaTheme="minorHAnsi"/>
      <w:sz w:val="24"/>
      <w:szCs w:val="24"/>
    </w:rPr>
  </w:style>
  <w:style w:type="paragraph" w:styleId="FootnoteText">
    <w:name w:val="footnote text"/>
    <w:basedOn w:val="Normal"/>
    <w:link w:val="FootnoteTextChar"/>
    <w:uiPriority w:val="99"/>
    <w:unhideWhenUsed/>
    <w:rsid w:val="006968A1"/>
    <w:pPr>
      <w:spacing w:after="0" w:line="240" w:lineRule="auto"/>
    </w:pPr>
    <w:rPr>
      <w:rFonts w:eastAsiaTheme="minorHAnsi"/>
    </w:rPr>
  </w:style>
  <w:style w:type="character" w:customStyle="1" w:styleId="FootnoteTextChar">
    <w:name w:val="Footnote Text Char"/>
    <w:basedOn w:val="DefaultParagraphFont"/>
    <w:link w:val="FootnoteText"/>
    <w:uiPriority w:val="99"/>
    <w:rsid w:val="006968A1"/>
    <w:rPr>
      <w:sz w:val="20"/>
      <w:szCs w:val="20"/>
    </w:rPr>
  </w:style>
  <w:style w:type="character" w:styleId="FootnoteReference">
    <w:name w:val="footnote reference"/>
    <w:basedOn w:val="DefaultParagraphFont"/>
    <w:uiPriority w:val="99"/>
    <w:semiHidden/>
    <w:unhideWhenUsed/>
    <w:rsid w:val="006968A1"/>
    <w:rPr>
      <w:vertAlign w:val="superscript"/>
    </w:rPr>
  </w:style>
  <w:style w:type="paragraph" w:styleId="Revision">
    <w:name w:val="Revision"/>
    <w:hidden/>
    <w:uiPriority w:val="99"/>
    <w:semiHidden/>
    <w:rsid w:val="00B27D80"/>
    <w:pPr>
      <w:spacing w:after="0" w:line="240" w:lineRule="auto"/>
    </w:pPr>
  </w:style>
  <w:style w:type="character" w:styleId="CommentReference">
    <w:name w:val="annotation reference"/>
    <w:basedOn w:val="DefaultParagraphFont"/>
    <w:uiPriority w:val="99"/>
    <w:semiHidden/>
    <w:unhideWhenUsed/>
    <w:rsid w:val="00453029"/>
    <w:rPr>
      <w:sz w:val="16"/>
      <w:szCs w:val="16"/>
    </w:rPr>
  </w:style>
  <w:style w:type="paragraph" w:styleId="CommentText">
    <w:name w:val="annotation text"/>
    <w:basedOn w:val="Normal"/>
    <w:link w:val="CommentTextChar"/>
    <w:uiPriority w:val="99"/>
    <w:unhideWhenUsed/>
    <w:rsid w:val="00453029"/>
    <w:pPr>
      <w:spacing w:line="240" w:lineRule="auto"/>
    </w:pPr>
  </w:style>
  <w:style w:type="character" w:customStyle="1" w:styleId="CommentTextChar">
    <w:name w:val="Comment Text Char"/>
    <w:basedOn w:val="DefaultParagraphFont"/>
    <w:link w:val="CommentText"/>
    <w:uiPriority w:val="99"/>
    <w:rsid w:val="00453029"/>
    <w:rPr>
      <w:rFonts w:eastAsia="Calibri"/>
      <w:sz w:val="20"/>
      <w:szCs w:val="20"/>
    </w:rPr>
  </w:style>
  <w:style w:type="paragraph" w:styleId="CommentSubject">
    <w:name w:val="annotation subject"/>
    <w:basedOn w:val="CommentText"/>
    <w:next w:val="CommentText"/>
    <w:link w:val="CommentSubjectChar"/>
    <w:uiPriority w:val="99"/>
    <w:semiHidden/>
    <w:unhideWhenUsed/>
    <w:rsid w:val="00453029"/>
    <w:rPr>
      <w:b/>
      <w:bCs/>
    </w:rPr>
  </w:style>
  <w:style w:type="character" w:customStyle="1" w:styleId="CommentSubjectChar">
    <w:name w:val="Comment Subject Char"/>
    <w:basedOn w:val="CommentTextChar"/>
    <w:link w:val="CommentSubject"/>
    <w:uiPriority w:val="99"/>
    <w:semiHidden/>
    <w:rsid w:val="00453029"/>
    <w:rPr>
      <w:rFonts w:eastAsia="Calibri"/>
      <w:b/>
      <w:bCs/>
      <w:sz w:val="20"/>
      <w:szCs w:val="20"/>
    </w:rPr>
  </w:style>
  <w:style w:type="paragraph" w:styleId="Header">
    <w:name w:val="header"/>
    <w:basedOn w:val="Normal"/>
    <w:link w:val="HeaderChar"/>
    <w:uiPriority w:val="99"/>
    <w:unhideWhenUsed/>
    <w:rsid w:val="00C34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521"/>
    <w:rPr>
      <w:rFonts w:eastAsia="Calibri"/>
      <w:sz w:val="20"/>
      <w:szCs w:val="20"/>
    </w:rPr>
  </w:style>
  <w:style w:type="paragraph" w:styleId="Footer">
    <w:name w:val="footer"/>
    <w:basedOn w:val="Normal"/>
    <w:link w:val="FooterChar"/>
    <w:uiPriority w:val="99"/>
    <w:unhideWhenUsed/>
    <w:rsid w:val="00C34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521"/>
    <w:rPr>
      <w:rFonts w:eastAsia="Calibri"/>
      <w:sz w:val="20"/>
      <w:szCs w:val="20"/>
    </w:rPr>
  </w:style>
  <w:style w:type="paragraph" w:styleId="BodyText">
    <w:name w:val="Body Text"/>
    <w:basedOn w:val="Normal"/>
    <w:link w:val="BodyTextChar"/>
    <w:uiPriority w:val="1"/>
    <w:qFormat/>
    <w:rsid w:val="00FD4D11"/>
    <w:pPr>
      <w:widowControl w:val="0"/>
      <w:autoSpaceDE w:val="0"/>
      <w:autoSpaceDN w:val="0"/>
      <w:spacing w:after="0" w:line="240" w:lineRule="auto"/>
      <w:ind w:left="120"/>
    </w:pPr>
    <w:rPr>
      <w:rFonts w:eastAsia="Times New Roman"/>
      <w:sz w:val="24"/>
      <w:szCs w:val="24"/>
    </w:rPr>
  </w:style>
  <w:style w:type="character" w:customStyle="1" w:styleId="BodyTextChar">
    <w:name w:val="Body Text Char"/>
    <w:basedOn w:val="DefaultParagraphFont"/>
    <w:link w:val="BodyText"/>
    <w:uiPriority w:val="1"/>
    <w:rsid w:val="00FD4D11"/>
    <w:rPr>
      <w:rFonts w:eastAsia="Times New Roman"/>
    </w:rPr>
  </w:style>
  <w:style w:type="paragraph" w:styleId="BodyText2">
    <w:name w:val="Body Text 2"/>
    <w:basedOn w:val="Normal"/>
    <w:link w:val="BodyText2Char"/>
    <w:uiPriority w:val="99"/>
    <w:semiHidden/>
    <w:unhideWhenUsed/>
    <w:rsid w:val="00130DD5"/>
    <w:pPr>
      <w:spacing w:after="120" w:line="480" w:lineRule="auto"/>
    </w:pPr>
  </w:style>
  <w:style w:type="character" w:customStyle="1" w:styleId="BodyText2Char">
    <w:name w:val="Body Text 2 Char"/>
    <w:basedOn w:val="DefaultParagraphFont"/>
    <w:link w:val="BodyText2"/>
    <w:uiPriority w:val="99"/>
    <w:semiHidden/>
    <w:rsid w:val="00130DD5"/>
    <w:rPr>
      <w:rFonts w:eastAsia="Calibri"/>
      <w:sz w:val="20"/>
      <w:szCs w:val="20"/>
    </w:rPr>
  </w:style>
  <w:style w:type="character" w:customStyle="1" w:styleId="Hyperlink1">
    <w:name w:val="Hyperlink1"/>
    <w:basedOn w:val="DefaultParagraphFont"/>
    <w:uiPriority w:val="99"/>
    <w:unhideWhenUsed/>
    <w:rsid w:val="001C74B1"/>
    <w:rPr>
      <w:color w:val="0000FF"/>
      <w:u w:val="single"/>
    </w:rPr>
  </w:style>
  <w:style w:type="character" w:styleId="Hyperlink">
    <w:name w:val="Hyperlink"/>
    <w:basedOn w:val="DefaultParagraphFont"/>
    <w:uiPriority w:val="99"/>
    <w:semiHidden/>
    <w:unhideWhenUsed/>
    <w:rsid w:val="001C74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0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perb@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F5CDFF1FD5D9498FAA1722714441FA" ma:contentTypeVersion="6" ma:contentTypeDescription="Create a new document." ma:contentTypeScope="" ma:versionID="e8c7c7ef6aeafa7dcc42b6c05c220f50">
  <xsd:schema xmlns:xsd="http://www.w3.org/2001/XMLSchema" xmlns:xs="http://www.w3.org/2001/XMLSchema" xmlns:p="http://schemas.microsoft.com/office/2006/metadata/properties" xmlns:ns3="ef01e5f0-e043-49e4-b714-2ad305e849d6" xmlns:ns4="b6c2ef06-9bd2-475a-ab5a-f2a58683330c" targetNamespace="http://schemas.microsoft.com/office/2006/metadata/properties" ma:root="true" ma:fieldsID="9ba0cda03d0fc3b496b384bd0a3dd020" ns3:_="" ns4:_="">
    <xsd:import namespace="ef01e5f0-e043-49e4-b714-2ad305e849d6"/>
    <xsd:import namespace="b6c2ef06-9bd2-475a-ab5a-f2a58683330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1e5f0-e043-49e4-b714-2ad305e84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c2ef06-9bd2-475a-ab5a-f2a5868333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f01e5f0-e043-49e4-b714-2ad305e849d6" xsi:nil="true"/>
  </documentManagement>
</p:properties>
</file>

<file path=customXml/itemProps1.xml><?xml version="1.0" encoding="utf-8"?>
<ds:datastoreItem xmlns:ds="http://schemas.openxmlformats.org/officeDocument/2006/customXml" ds:itemID="{C2DB871D-DE7A-4A15-A575-F53D1BB27130}">
  <ds:schemaRefs>
    <ds:schemaRef ds:uri="http://schemas.microsoft.com/sharepoint/v3/contenttype/forms"/>
  </ds:schemaRefs>
</ds:datastoreItem>
</file>

<file path=customXml/itemProps2.xml><?xml version="1.0" encoding="utf-8"?>
<ds:datastoreItem xmlns:ds="http://schemas.openxmlformats.org/officeDocument/2006/customXml" ds:itemID="{1003D326-4C1E-4EE2-A019-2AE5E660B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1e5f0-e043-49e4-b714-2ad305e849d6"/>
    <ds:schemaRef ds:uri="b6c2ef06-9bd2-475a-ab5a-f2a586833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8E56AC-6F00-46DB-BC87-7E233C1240BD}">
  <ds:schemaRefs>
    <ds:schemaRef ds:uri="http://schemas.openxmlformats.org/officeDocument/2006/bibliography"/>
  </ds:schemaRefs>
</ds:datastoreItem>
</file>

<file path=customXml/itemProps4.xml><?xml version="1.0" encoding="utf-8"?>
<ds:datastoreItem xmlns:ds="http://schemas.openxmlformats.org/officeDocument/2006/customXml" ds:itemID="{3F3C6C13-E73A-458E-9AD2-0BE011D24ADC}">
  <ds:schemaRefs>
    <ds:schemaRef ds:uri="http://schemas.microsoft.com/office/2006/metadata/properties"/>
    <ds:schemaRef ds:uri="http://schemas.microsoft.com/office/infopath/2007/PartnerControls"/>
    <ds:schemaRef ds:uri="ef01e5f0-e043-49e4-b714-2ad305e849d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3494</Words>
  <Characters>19919</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23367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Katz, Isaac (PERB)</dc:creator>
  <cp:keywords/>
  <dc:description/>
  <cp:lastModifiedBy>Elam, Gertie (PERB)</cp:lastModifiedBy>
  <cp:revision>2</cp:revision>
  <cp:lastPrinted>2022-11-04T14:28:00Z</cp:lastPrinted>
  <dcterms:created xsi:type="dcterms:W3CDTF">2023-04-27T18:49:00Z</dcterms:created>
  <dcterms:modified xsi:type="dcterms:W3CDTF">2023-04-27T18:49:00Z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0x0101001EF5CDFF1FD5D9498FAA1722714441FA</vt:lpwstr>
  </property>
</Properties>
</file>