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22438" w14:textId="77777777" w:rsidR="007F3BDC" w:rsidRPr="007F3BDC" w:rsidRDefault="007F3BDC" w:rsidP="007F3BDC">
      <w:pPr>
        <w:tabs>
          <w:tab w:val="center" w:pos="4680"/>
          <w:tab w:val="right" w:pos="9360"/>
        </w:tabs>
        <w:spacing w:after="0" w:line="240" w:lineRule="auto"/>
        <w:jc w:val="both"/>
        <w:rPr>
          <w:rFonts w:eastAsia="Calibri"/>
          <w:kern w:val="0"/>
          <w:sz w:val="20"/>
          <w:szCs w:val="20"/>
          <w14:ligatures w14:val="none"/>
        </w:rPr>
      </w:pPr>
      <w:r w:rsidRPr="007F3BDC">
        <w:rPr>
          <w:rFonts w:eastAsia="Calibri"/>
          <w:kern w:val="0"/>
          <w:sz w:val="20"/>
          <w:szCs w:val="20"/>
          <w14:ligatures w14:val="none"/>
        </w:rPr>
        <w:t>Notice: This decision may be formally revised before it is published in the District of Columbia Register. Parties should promptly notify this office of any errors so that they may be corrected before publishing the decision. This notice is not intended to provide an opportunity for a substantive challenge to the decision.</w:t>
      </w:r>
    </w:p>
    <w:p w14:paraId="5CC445E5" w14:textId="77777777" w:rsidR="007F3BDC" w:rsidRPr="007F3BDC" w:rsidRDefault="007F3BDC" w:rsidP="007F3BDC">
      <w:pPr>
        <w:widowControl w:val="0"/>
        <w:spacing w:after="0" w:line="240" w:lineRule="auto"/>
        <w:jc w:val="center"/>
        <w:rPr>
          <w:rFonts w:eastAsia="Calibri"/>
          <w:b/>
          <w:bCs/>
          <w:kern w:val="0"/>
          <w14:ligatures w14:val="none"/>
        </w:rPr>
      </w:pPr>
    </w:p>
    <w:p w14:paraId="70BA3BF4" w14:textId="77777777" w:rsidR="007F3BDC" w:rsidRPr="007F3BDC" w:rsidRDefault="007F3BDC" w:rsidP="007F3BDC">
      <w:pPr>
        <w:widowControl w:val="0"/>
        <w:spacing w:after="0" w:line="240" w:lineRule="auto"/>
        <w:jc w:val="center"/>
        <w:rPr>
          <w:rFonts w:eastAsia="Calibri"/>
          <w:b/>
          <w:bCs/>
          <w:kern w:val="0"/>
          <w14:ligatures w14:val="none"/>
        </w:rPr>
      </w:pPr>
      <w:r w:rsidRPr="007F3BDC">
        <w:rPr>
          <w:rFonts w:eastAsia="Calibri"/>
          <w:b/>
          <w:bCs/>
          <w:kern w:val="0"/>
          <w14:ligatures w14:val="none"/>
        </w:rPr>
        <w:t xml:space="preserve">Government of the District of Columbia </w:t>
      </w:r>
    </w:p>
    <w:p w14:paraId="339AF0B5" w14:textId="77777777" w:rsidR="007F3BDC" w:rsidRPr="007F3BDC" w:rsidRDefault="007F3BDC" w:rsidP="007F3BDC">
      <w:pPr>
        <w:widowControl w:val="0"/>
        <w:spacing w:after="0" w:line="240" w:lineRule="auto"/>
        <w:jc w:val="center"/>
        <w:rPr>
          <w:rFonts w:eastAsia="Calibri"/>
          <w:b/>
          <w:bCs/>
          <w:kern w:val="0"/>
          <w14:ligatures w14:val="none"/>
        </w:rPr>
      </w:pPr>
      <w:r w:rsidRPr="007F3BDC">
        <w:rPr>
          <w:rFonts w:eastAsia="Calibri"/>
          <w:b/>
          <w:bCs/>
          <w:kern w:val="0"/>
          <w14:ligatures w14:val="none"/>
        </w:rPr>
        <w:t>Public Employee Relations Board</w:t>
      </w:r>
    </w:p>
    <w:p w14:paraId="5A112D57" w14:textId="77777777" w:rsidR="007F3BDC" w:rsidRPr="007F3BDC" w:rsidRDefault="007F3BDC" w:rsidP="007F3BDC">
      <w:pPr>
        <w:widowControl w:val="0"/>
        <w:spacing w:after="0" w:line="240" w:lineRule="auto"/>
        <w:ind w:firstLine="720"/>
        <w:jc w:val="both"/>
        <w:rPr>
          <w:rFonts w:eastAsia="Calibri"/>
          <w:b/>
          <w:bCs/>
          <w:kern w:val="0"/>
          <w14:ligatures w14:val="none"/>
        </w:rPr>
      </w:pPr>
    </w:p>
    <w:p w14:paraId="6005376C" w14:textId="77777777" w:rsidR="007F3BDC" w:rsidRPr="007F3BDC" w:rsidRDefault="007F3BDC" w:rsidP="007F3BDC">
      <w:pPr>
        <w:widowControl w:val="0"/>
        <w:spacing w:after="0" w:line="240" w:lineRule="auto"/>
        <w:jc w:val="both"/>
        <w:rPr>
          <w:rFonts w:eastAsia="Calibri"/>
          <w:bCs/>
          <w:kern w:val="0"/>
          <w14:ligatures w14:val="none"/>
        </w:rPr>
      </w:pPr>
      <w:r w:rsidRPr="007F3BDC">
        <w:rPr>
          <w:rFonts w:eastAsia="Calibri"/>
          <w:bCs/>
          <w:kern w:val="0"/>
          <w14:ligatures w14:val="none"/>
        </w:rPr>
        <w:t>_________________________________________</w:t>
      </w:r>
      <w:r w:rsidRPr="007F3BDC">
        <w:rPr>
          <w:rFonts w:eastAsia="Calibri"/>
          <w:bCs/>
          <w:kern w:val="0"/>
          <w14:ligatures w14:val="none"/>
        </w:rPr>
        <w:tab/>
      </w:r>
    </w:p>
    <w:p w14:paraId="432C1BC0" w14:textId="77777777" w:rsidR="007F3BDC" w:rsidRPr="007F3BDC" w:rsidRDefault="007F3BDC" w:rsidP="007F3BDC">
      <w:pPr>
        <w:widowControl w:val="0"/>
        <w:tabs>
          <w:tab w:val="left" w:pos="720"/>
          <w:tab w:val="left" w:pos="1440"/>
          <w:tab w:val="left" w:pos="2160"/>
          <w:tab w:val="left" w:pos="2880"/>
          <w:tab w:val="left" w:pos="3600"/>
          <w:tab w:val="left" w:pos="4320"/>
          <w:tab w:val="left" w:pos="5040"/>
          <w:tab w:val="left" w:pos="6744"/>
        </w:tabs>
        <w:spacing w:after="0" w:line="240" w:lineRule="auto"/>
        <w:jc w:val="both"/>
        <w:rPr>
          <w:rFonts w:eastAsia="Calibri"/>
          <w:bCs/>
          <w:kern w:val="0"/>
          <w14:ligatures w14:val="none"/>
        </w:rPr>
      </w:pP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t>)</w:t>
      </w:r>
      <w:r w:rsidRPr="007F3BDC">
        <w:rPr>
          <w:rFonts w:eastAsia="Calibri"/>
          <w:bCs/>
          <w:kern w:val="0"/>
          <w14:ligatures w14:val="none"/>
        </w:rPr>
        <w:tab/>
      </w:r>
    </w:p>
    <w:p w14:paraId="0E3175B6" w14:textId="77777777" w:rsidR="007F3BDC" w:rsidRPr="007F3BDC" w:rsidRDefault="007F3BDC" w:rsidP="007F3BDC">
      <w:pPr>
        <w:widowControl w:val="0"/>
        <w:spacing w:after="0" w:line="240" w:lineRule="auto"/>
        <w:jc w:val="both"/>
        <w:rPr>
          <w:rFonts w:eastAsia="Calibri"/>
          <w:bCs/>
          <w:kern w:val="0"/>
          <w14:ligatures w14:val="none"/>
        </w:rPr>
      </w:pPr>
      <w:r w:rsidRPr="007F3BDC">
        <w:rPr>
          <w:rFonts w:eastAsia="Calibri"/>
          <w:bCs/>
          <w:kern w:val="0"/>
          <w14:ligatures w14:val="none"/>
        </w:rPr>
        <w:t>In the Matter of:</w:t>
      </w: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t>)</w:t>
      </w:r>
    </w:p>
    <w:p w14:paraId="1A7D7C3E" w14:textId="77777777" w:rsidR="007F3BDC" w:rsidRPr="007F3BDC" w:rsidRDefault="007F3BDC" w:rsidP="007F3BDC">
      <w:pPr>
        <w:widowControl w:val="0"/>
        <w:spacing w:after="0" w:line="240" w:lineRule="auto"/>
        <w:jc w:val="both"/>
        <w:rPr>
          <w:rFonts w:eastAsia="Calibri"/>
          <w:bCs/>
          <w:kern w:val="0"/>
          <w14:ligatures w14:val="none"/>
        </w:rPr>
      </w:pP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t>)</w:t>
      </w:r>
    </w:p>
    <w:p w14:paraId="5B14280B" w14:textId="77777777" w:rsidR="007F3BDC" w:rsidRPr="007F3BDC" w:rsidRDefault="007F3BDC" w:rsidP="007F3BDC">
      <w:pPr>
        <w:widowControl w:val="0"/>
        <w:spacing w:after="0" w:line="240" w:lineRule="auto"/>
        <w:jc w:val="both"/>
        <w:rPr>
          <w:rFonts w:eastAsia="Calibri"/>
          <w:bCs/>
          <w:kern w:val="0"/>
          <w14:ligatures w14:val="none"/>
        </w:rPr>
      </w:pPr>
      <w:r w:rsidRPr="007F3BDC">
        <w:rPr>
          <w:rFonts w:eastAsia="Calibri"/>
          <w:bCs/>
          <w:kern w:val="0"/>
          <w14:ligatures w14:val="none"/>
        </w:rPr>
        <w:t xml:space="preserve">District of Columbia Metropolitan Police </w:t>
      </w:r>
      <w:r w:rsidRPr="007F3BDC">
        <w:rPr>
          <w:rFonts w:eastAsia="Calibri"/>
          <w:bCs/>
          <w:kern w:val="0"/>
          <w14:ligatures w14:val="none"/>
        </w:rPr>
        <w:tab/>
      </w:r>
      <w:r w:rsidRPr="007F3BDC">
        <w:rPr>
          <w:rFonts w:eastAsia="Calibri"/>
          <w:bCs/>
          <w:kern w:val="0"/>
          <w14:ligatures w14:val="none"/>
        </w:rPr>
        <w:tab/>
        <w:t>)</w:t>
      </w:r>
    </w:p>
    <w:p w14:paraId="2F511FD0" w14:textId="77777777" w:rsidR="007F3BDC" w:rsidRPr="007F3BDC" w:rsidRDefault="007F3BDC" w:rsidP="007F3BDC">
      <w:pPr>
        <w:widowControl w:val="0"/>
        <w:spacing w:after="0" w:line="240" w:lineRule="auto"/>
        <w:jc w:val="both"/>
        <w:rPr>
          <w:rFonts w:eastAsia="Calibri"/>
          <w:bCs/>
          <w:kern w:val="0"/>
          <w14:ligatures w14:val="none"/>
        </w:rPr>
      </w:pPr>
      <w:r w:rsidRPr="007F3BDC">
        <w:rPr>
          <w:rFonts w:eastAsia="Calibri"/>
          <w:bCs/>
          <w:kern w:val="0"/>
          <w14:ligatures w14:val="none"/>
        </w:rPr>
        <w:t>Department,</w:t>
      </w: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t xml:space="preserve">            )</w:t>
      </w:r>
    </w:p>
    <w:p w14:paraId="563E4507" w14:textId="7C54B0C4" w:rsidR="007F3BDC" w:rsidRPr="007F3BDC" w:rsidRDefault="007F3BDC" w:rsidP="007F3BDC">
      <w:pPr>
        <w:widowControl w:val="0"/>
        <w:spacing w:after="0" w:line="240" w:lineRule="auto"/>
        <w:jc w:val="both"/>
        <w:rPr>
          <w:rFonts w:eastAsia="Calibri"/>
          <w:bCs/>
          <w:kern w:val="0"/>
          <w14:ligatures w14:val="none"/>
        </w:rPr>
      </w:pP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t xml:space="preserve">) </w:t>
      </w:r>
      <w:r w:rsidRPr="007F3BDC">
        <w:rPr>
          <w:rFonts w:eastAsia="Calibri"/>
          <w:bCs/>
          <w:kern w:val="0"/>
          <w14:ligatures w14:val="none"/>
        </w:rPr>
        <w:tab/>
        <w:t xml:space="preserve">PERB Case No. </w:t>
      </w:r>
      <w:r>
        <w:rPr>
          <w:rFonts w:eastAsia="Calibri"/>
          <w:bCs/>
          <w:kern w:val="0"/>
          <w14:ligatures w14:val="none"/>
        </w:rPr>
        <w:t>22-A-09</w:t>
      </w:r>
      <w:r w:rsidRPr="007F3BDC">
        <w:rPr>
          <w:rFonts w:eastAsia="Calibri"/>
          <w:bCs/>
          <w:kern w:val="0"/>
          <w14:ligatures w14:val="none"/>
        </w:rPr>
        <w:t>(R)</w:t>
      </w:r>
      <w:r w:rsidRPr="007F3BDC">
        <w:rPr>
          <w:rFonts w:eastAsia="Calibri"/>
          <w:bCs/>
          <w:kern w:val="0"/>
          <w14:ligatures w14:val="none"/>
        </w:rPr>
        <w:tab/>
      </w:r>
    </w:p>
    <w:p w14:paraId="2DEB0EE9" w14:textId="77777777" w:rsidR="007F3BDC" w:rsidRPr="007F3BDC" w:rsidRDefault="007F3BDC" w:rsidP="007F3BDC">
      <w:pPr>
        <w:widowControl w:val="0"/>
        <w:spacing w:after="0" w:line="240" w:lineRule="auto"/>
        <w:ind w:left="1440" w:firstLine="720"/>
        <w:jc w:val="both"/>
        <w:rPr>
          <w:rFonts w:eastAsia="Calibri"/>
          <w:bCs/>
          <w:kern w:val="0"/>
          <w14:ligatures w14:val="none"/>
        </w:rPr>
      </w:pPr>
      <w:r w:rsidRPr="007F3BDC">
        <w:rPr>
          <w:rFonts w:eastAsia="Calibri"/>
          <w:bCs/>
          <w:kern w:val="0"/>
          <w14:ligatures w14:val="none"/>
        </w:rPr>
        <w:t>Petitioner</w:t>
      </w: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t>)</w:t>
      </w:r>
    </w:p>
    <w:p w14:paraId="2DA7D3AB" w14:textId="5EE367E3" w:rsidR="007F3BDC" w:rsidRPr="007F3BDC" w:rsidRDefault="007F3BDC" w:rsidP="007F3BDC">
      <w:pPr>
        <w:widowControl w:val="0"/>
        <w:spacing w:after="0" w:line="240" w:lineRule="auto"/>
        <w:ind w:firstLine="720"/>
        <w:jc w:val="both"/>
        <w:rPr>
          <w:rFonts w:eastAsia="Calibri"/>
          <w:bCs/>
          <w:kern w:val="0"/>
          <w14:ligatures w14:val="none"/>
        </w:rPr>
      </w:pP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t xml:space="preserve">) </w:t>
      </w:r>
      <w:r w:rsidRPr="007F3BDC">
        <w:rPr>
          <w:rFonts w:eastAsia="Calibri"/>
          <w:bCs/>
          <w:kern w:val="0"/>
          <w14:ligatures w14:val="none"/>
        </w:rPr>
        <w:tab/>
        <w:t xml:space="preserve">Opinion No. </w:t>
      </w:r>
      <w:r w:rsidR="00E2460D">
        <w:rPr>
          <w:rFonts w:eastAsia="Calibri"/>
          <w:bCs/>
          <w:kern w:val="0"/>
          <w14:ligatures w14:val="none"/>
        </w:rPr>
        <w:t>1848</w:t>
      </w:r>
    </w:p>
    <w:p w14:paraId="1A70047D" w14:textId="77777777" w:rsidR="007F3BDC" w:rsidRPr="007F3BDC" w:rsidRDefault="007F3BDC" w:rsidP="007F3BDC">
      <w:pPr>
        <w:widowControl w:val="0"/>
        <w:spacing w:after="0" w:line="240" w:lineRule="auto"/>
        <w:ind w:firstLine="720"/>
        <w:jc w:val="both"/>
        <w:rPr>
          <w:rFonts w:eastAsia="Calibri"/>
          <w:bCs/>
          <w:kern w:val="0"/>
          <w14:ligatures w14:val="none"/>
        </w:rPr>
      </w:pPr>
      <w:r w:rsidRPr="007F3BDC">
        <w:rPr>
          <w:rFonts w:eastAsia="Calibri"/>
          <w:bCs/>
          <w:kern w:val="0"/>
          <w14:ligatures w14:val="none"/>
        </w:rPr>
        <w:tab/>
        <w:t>v.</w:t>
      </w: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t>)</w:t>
      </w:r>
      <w:r w:rsidRPr="007F3BDC">
        <w:rPr>
          <w:rFonts w:eastAsia="Calibri"/>
          <w:bCs/>
          <w:kern w:val="0"/>
          <w14:ligatures w14:val="none"/>
        </w:rPr>
        <w:tab/>
        <w:t xml:space="preserve"> </w:t>
      </w:r>
    </w:p>
    <w:p w14:paraId="5669002F" w14:textId="77777777" w:rsidR="007F3BDC" w:rsidRPr="007F3BDC" w:rsidRDefault="007F3BDC" w:rsidP="007F3BDC">
      <w:pPr>
        <w:widowControl w:val="0"/>
        <w:spacing w:after="0" w:line="240" w:lineRule="auto"/>
        <w:jc w:val="both"/>
        <w:rPr>
          <w:rFonts w:eastAsia="Calibri"/>
          <w:bCs/>
          <w:kern w:val="0"/>
          <w14:ligatures w14:val="none"/>
        </w:rPr>
      </w:pP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t>)</w:t>
      </w:r>
    </w:p>
    <w:p w14:paraId="1538DD93" w14:textId="77777777" w:rsidR="007F3BDC" w:rsidRPr="007F3BDC" w:rsidRDefault="007F3BDC" w:rsidP="007F3BDC">
      <w:pPr>
        <w:widowControl w:val="0"/>
        <w:spacing w:after="0" w:line="240" w:lineRule="auto"/>
        <w:jc w:val="both"/>
        <w:rPr>
          <w:rFonts w:eastAsia="Calibri"/>
          <w:bCs/>
          <w:kern w:val="0"/>
          <w14:ligatures w14:val="none"/>
        </w:rPr>
      </w:pPr>
      <w:r w:rsidRPr="007F3BDC">
        <w:rPr>
          <w:rFonts w:eastAsia="Calibri"/>
          <w:bCs/>
          <w:kern w:val="0"/>
          <w14:ligatures w14:val="none"/>
        </w:rPr>
        <w:t>Fraternal Order of Police/ Metropolitan Police</w:t>
      </w:r>
      <w:r w:rsidRPr="007F3BDC">
        <w:rPr>
          <w:rFonts w:eastAsia="Calibri"/>
          <w:bCs/>
          <w:kern w:val="0"/>
          <w14:ligatures w14:val="none"/>
        </w:rPr>
        <w:tab/>
        <w:t>)</w:t>
      </w:r>
    </w:p>
    <w:p w14:paraId="4199035B" w14:textId="77777777" w:rsidR="007F3BDC" w:rsidRPr="007F3BDC" w:rsidRDefault="007F3BDC" w:rsidP="007F3BDC">
      <w:pPr>
        <w:widowControl w:val="0"/>
        <w:spacing w:after="0" w:line="240" w:lineRule="auto"/>
        <w:jc w:val="both"/>
        <w:rPr>
          <w:rFonts w:eastAsia="Calibri"/>
          <w:bCs/>
          <w:kern w:val="0"/>
          <w14:ligatures w14:val="none"/>
        </w:rPr>
      </w:pPr>
      <w:r w:rsidRPr="007F3BDC">
        <w:rPr>
          <w:rFonts w:eastAsia="Calibri"/>
          <w:bCs/>
          <w:kern w:val="0"/>
          <w14:ligatures w14:val="none"/>
        </w:rPr>
        <w:t>Department Labor Committee</w:t>
      </w: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t>)</w:t>
      </w:r>
    </w:p>
    <w:p w14:paraId="26228151" w14:textId="77777777" w:rsidR="007F3BDC" w:rsidRPr="007F3BDC" w:rsidRDefault="007F3BDC" w:rsidP="007F3BDC">
      <w:pPr>
        <w:widowControl w:val="0"/>
        <w:spacing w:after="0" w:line="240" w:lineRule="auto"/>
        <w:jc w:val="both"/>
        <w:rPr>
          <w:rFonts w:eastAsia="Calibri"/>
          <w:bCs/>
          <w:kern w:val="0"/>
          <w14:ligatures w14:val="none"/>
        </w:rPr>
      </w:pP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t>)</w:t>
      </w:r>
      <w:r w:rsidRPr="007F3BDC">
        <w:rPr>
          <w:rFonts w:eastAsia="Calibri"/>
          <w:bCs/>
          <w:kern w:val="0"/>
          <w14:ligatures w14:val="none"/>
        </w:rPr>
        <w:tab/>
      </w:r>
    </w:p>
    <w:p w14:paraId="14C7D04D" w14:textId="77777777" w:rsidR="007F3BDC" w:rsidRPr="007F3BDC" w:rsidRDefault="007F3BDC" w:rsidP="007F3BDC">
      <w:pPr>
        <w:widowControl w:val="0"/>
        <w:spacing w:after="0" w:line="240" w:lineRule="auto"/>
        <w:ind w:left="1440" w:firstLine="720"/>
        <w:jc w:val="both"/>
        <w:rPr>
          <w:rFonts w:eastAsia="Calibri"/>
          <w:bCs/>
          <w:kern w:val="0"/>
          <w14:ligatures w14:val="none"/>
        </w:rPr>
      </w:pPr>
      <w:r w:rsidRPr="007F3BDC">
        <w:rPr>
          <w:rFonts w:eastAsia="Calibri"/>
          <w:bCs/>
          <w:kern w:val="0"/>
          <w14:ligatures w14:val="none"/>
        </w:rPr>
        <w:t>Respondent</w:t>
      </w:r>
      <w:r w:rsidRPr="007F3BDC">
        <w:rPr>
          <w:rFonts w:eastAsia="Calibri"/>
          <w:bCs/>
          <w:kern w:val="0"/>
          <w14:ligatures w14:val="none"/>
        </w:rPr>
        <w:tab/>
      </w:r>
      <w:r w:rsidRPr="007F3BDC">
        <w:rPr>
          <w:rFonts w:eastAsia="Calibri"/>
          <w:bCs/>
          <w:kern w:val="0"/>
          <w14:ligatures w14:val="none"/>
        </w:rPr>
        <w:tab/>
      </w:r>
      <w:r w:rsidRPr="007F3BDC">
        <w:rPr>
          <w:rFonts w:eastAsia="Calibri"/>
          <w:bCs/>
          <w:kern w:val="0"/>
          <w14:ligatures w14:val="none"/>
        </w:rPr>
        <w:tab/>
        <w:t>)</w:t>
      </w:r>
    </w:p>
    <w:p w14:paraId="508EE593" w14:textId="77777777" w:rsidR="007F3BDC" w:rsidRPr="007F3BDC" w:rsidRDefault="007F3BDC" w:rsidP="007F3BDC">
      <w:pPr>
        <w:widowControl w:val="0"/>
        <w:spacing w:after="0" w:line="240" w:lineRule="auto"/>
        <w:jc w:val="both"/>
        <w:rPr>
          <w:rFonts w:eastAsia="Calibri"/>
          <w:bCs/>
          <w:kern w:val="0"/>
          <w14:ligatures w14:val="none"/>
        </w:rPr>
      </w:pPr>
      <w:r w:rsidRPr="007F3BDC">
        <w:rPr>
          <w:rFonts w:eastAsia="Calibri"/>
          <w:bCs/>
          <w:kern w:val="0"/>
          <w14:ligatures w14:val="none"/>
        </w:rPr>
        <w:t>_________________________________________</w:t>
      </w:r>
      <w:r w:rsidRPr="007F3BDC">
        <w:rPr>
          <w:rFonts w:eastAsia="Calibri"/>
          <w:bCs/>
          <w:kern w:val="0"/>
          <w14:ligatures w14:val="none"/>
        </w:rPr>
        <w:tab/>
        <w:t>)</w:t>
      </w:r>
    </w:p>
    <w:p w14:paraId="150A1CCF" w14:textId="77777777" w:rsidR="007F3BDC" w:rsidRPr="007F3BDC" w:rsidRDefault="007F3BDC" w:rsidP="007F3BDC">
      <w:pPr>
        <w:spacing w:after="0" w:line="240" w:lineRule="auto"/>
        <w:jc w:val="both"/>
        <w:rPr>
          <w:rFonts w:eastAsia="Calibri"/>
          <w:kern w:val="0"/>
          <w14:ligatures w14:val="none"/>
        </w:rPr>
      </w:pPr>
    </w:p>
    <w:p w14:paraId="3FFFF3F6" w14:textId="77777777" w:rsidR="007F3BDC" w:rsidRPr="007F3BDC" w:rsidRDefault="007F3BDC" w:rsidP="007F3BDC">
      <w:pPr>
        <w:spacing w:after="0" w:line="240" w:lineRule="auto"/>
        <w:jc w:val="both"/>
        <w:rPr>
          <w:rFonts w:eastAsia="Calibri"/>
          <w:kern w:val="0"/>
          <w14:ligatures w14:val="none"/>
        </w:rPr>
      </w:pPr>
    </w:p>
    <w:p w14:paraId="593EF823" w14:textId="77777777" w:rsidR="007F3BDC" w:rsidRDefault="007F3BDC" w:rsidP="00C7521E">
      <w:pPr>
        <w:spacing w:after="200" w:line="240" w:lineRule="auto"/>
        <w:jc w:val="center"/>
        <w:rPr>
          <w:rFonts w:eastAsia="Calibri"/>
          <w:b/>
          <w:kern w:val="0"/>
          <w14:ligatures w14:val="none"/>
        </w:rPr>
      </w:pPr>
      <w:r w:rsidRPr="007F3BDC">
        <w:rPr>
          <w:rFonts w:eastAsia="Calibri"/>
          <w:b/>
          <w:kern w:val="0"/>
          <w14:ligatures w14:val="none"/>
        </w:rPr>
        <w:t>DECISION AND ORDER ON REMAND</w:t>
      </w:r>
    </w:p>
    <w:p w14:paraId="1D92B25B" w14:textId="77777777" w:rsidR="00C7521E" w:rsidRPr="007F3BDC" w:rsidRDefault="00C7521E" w:rsidP="00C7521E">
      <w:pPr>
        <w:spacing w:after="200" w:line="240" w:lineRule="auto"/>
        <w:jc w:val="center"/>
        <w:rPr>
          <w:rFonts w:eastAsia="Calibri"/>
          <w:b/>
          <w:kern w:val="0"/>
          <w14:ligatures w14:val="none"/>
        </w:rPr>
      </w:pPr>
    </w:p>
    <w:p w14:paraId="5FC23366" w14:textId="77777777" w:rsidR="007F3BDC" w:rsidRPr="007F3BDC" w:rsidRDefault="007F3BDC" w:rsidP="00C7521E">
      <w:pPr>
        <w:numPr>
          <w:ilvl w:val="0"/>
          <w:numId w:val="4"/>
        </w:numPr>
        <w:spacing w:before="240" w:after="200" w:line="240" w:lineRule="auto"/>
        <w:ind w:left="720"/>
        <w:jc w:val="both"/>
        <w:rPr>
          <w:rFonts w:eastAsia="Calibri"/>
          <w:b/>
          <w:kern w:val="0"/>
          <w14:ligatures w14:val="none"/>
        </w:rPr>
      </w:pPr>
      <w:bookmarkStart w:id="0" w:name="_Hlk113977904"/>
      <w:r w:rsidRPr="007F3BDC">
        <w:rPr>
          <w:rFonts w:eastAsia="Calibri"/>
          <w:b/>
          <w:kern w:val="0"/>
          <w14:ligatures w14:val="none"/>
        </w:rPr>
        <w:t>St</w:t>
      </w:r>
      <w:bookmarkEnd w:id="0"/>
      <w:r w:rsidRPr="007F3BDC">
        <w:rPr>
          <w:rFonts w:eastAsia="Calibri"/>
          <w:b/>
          <w:kern w:val="0"/>
          <w14:ligatures w14:val="none"/>
        </w:rPr>
        <w:t xml:space="preserve">atement of the Case </w:t>
      </w:r>
    </w:p>
    <w:p w14:paraId="75431203" w14:textId="77777777" w:rsidR="00C7521E" w:rsidRDefault="007F3BDC" w:rsidP="00B73466">
      <w:pPr>
        <w:pStyle w:val="BodyTextIndent"/>
      </w:pPr>
      <w:r w:rsidRPr="007F3BDC">
        <w:t>This matter comes before the Board on remand from the Superior Court of the District of Columbia, pursuant to</w:t>
      </w:r>
      <w:r w:rsidR="0054653D">
        <w:t xml:space="preserve"> its order remanding the decision of the Board </w:t>
      </w:r>
      <w:r w:rsidR="00201B46">
        <w:t xml:space="preserve">in </w:t>
      </w:r>
      <w:r w:rsidR="00201B46" w:rsidRPr="00201B46">
        <w:rPr>
          <w:i/>
          <w:iCs/>
        </w:rPr>
        <w:t>District of Columbia Metropolitan Police Department</w:t>
      </w:r>
      <w:r w:rsidR="00201B46">
        <w:rPr>
          <w:i/>
          <w:iCs/>
        </w:rPr>
        <w:t xml:space="preserve"> v. </w:t>
      </w:r>
      <w:r w:rsidR="00201B46" w:rsidRPr="00201B46">
        <w:rPr>
          <w:i/>
          <w:iCs/>
        </w:rPr>
        <w:t>Fraternal Order of Police/ Metropolitan Police Department Labor Committee</w:t>
      </w:r>
      <w:r w:rsidR="00B73466">
        <w:rPr>
          <w:i/>
          <w:iCs/>
        </w:rPr>
        <w:t xml:space="preserve"> (Baccus)</w:t>
      </w:r>
      <w:r w:rsidR="00201B46">
        <w:rPr>
          <w:i/>
          <w:iCs/>
        </w:rPr>
        <w:t xml:space="preserve">, </w:t>
      </w:r>
      <w:r w:rsidR="00201B46" w:rsidRPr="00201B46">
        <w:t>70 D.C. Reg. 132</w:t>
      </w:r>
      <w:r w:rsidR="00201B46">
        <w:t>, Slip Op. No. 1826, PERB Case No. 22-A-09 (2022).</w:t>
      </w:r>
      <w:r w:rsidR="00201B46">
        <w:rPr>
          <w:rStyle w:val="FootnoteReference"/>
        </w:rPr>
        <w:footnoteReference w:id="1"/>
      </w:r>
      <w:r w:rsidR="00201B46">
        <w:t xml:space="preserve">  </w:t>
      </w:r>
    </w:p>
    <w:p w14:paraId="383AC458" w14:textId="74E0F5D0" w:rsidR="007F3BDC" w:rsidRPr="007F3BDC" w:rsidRDefault="007F3BDC" w:rsidP="00B73466">
      <w:pPr>
        <w:pStyle w:val="BodyTextIndent"/>
      </w:pPr>
      <w:r w:rsidRPr="007F3BDC">
        <w:t xml:space="preserve">For the reasons stated herein, </w:t>
      </w:r>
      <w:r w:rsidR="00B73466" w:rsidRPr="007F3BDC">
        <w:t>MPD’s arbitration review request is granted</w:t>
      </w:r>
      <w:r w:rsidR="00B73466">
        <w:t xml:space="preserve">.  The Board vacates its decision in Opinion No. 1826, and remands the Arbitration Award back </w:t>
      </w:r>
      <w:r w:rsidRPr="007F3BDC">
        <w:t>to the Arbitrator for further proceedings consistent with t</w:t>
      </w:r>
      <w:r w:rsidR="00B73466">
        <w:t>his decision</w:t>
      </w:r>
      <w:r w:rsidRPr="007F3BDC">
        <w:t>.</w:t>
      </w:r>
    </w:p>
    <w:p w14:paraId="0E3D3564" w14:textId="77777777" w:rsidR="00C7521E" w:rsidRDefault="00C7521E" w:rsidP="007F3BDC">
      <w:pPr>
        <w:spacing w:before="240" w:after="0"/>
        <w:ind w:firstLine="720"/>
        <w:jc w:val="both"/>
        <w:rPr>
          <w:rFonts w:eastAsia="Calibri"/>
          <w:bCs/>
          <w:kern w:val="0"/>
          <w14:ligatures w14:val="none"/>
        </w:rPr>
      </w:pPr>
    </w:p>
    <w:p w14:paraId="7A6C549B" w14:textId="77777777" w:rsidR="00C7521E" w:rsidRPr="007F3BDC" w:rsidRDefault="00C7521E" w:rsidP="007F3BDC">
      <w:pPr>
        <w:spacing w:before="240" w:after="0"/>
        <w:ind w:firstLine="720"/>
        <w:jc w:val="both"/>
        <w:rPr>
          <w:rFonts w:eastAsia="Calibri"/>
          <w:bCs/>
          <w:kern w:val="0"/>
          <w14:ligatures w14:val="none"/>
        </w:rPr>
      </w:pPr>
    </w:p>
    <w:p w14:paraId="15450615" w14:textId="77777777" w:rsidR="007F3BDC" w:rsidRPr="007F3BDC" w:rsidRDefault="007F3BDC" w:rsidP="007F3BDC">
      <w:pPr>
        <w:numPr>
          <w:ilvl w:val="0"/>
          <w:numId w:val="4"/>
        </w:numPr>
        <w:ind w:left="720"/>
        <w:jc w:val="both"/>
        <w:rPr>
          <w:rFonts w:eastAsia="Calibri"/>
          <w:bCs/>
          <w:kern w:val="0"/>
          <w14:ligatures w14:val="none"/>
        </w:rPr>
      </w:pPr>
      <w:r w:rsidRPr="007F3BDC">
        <w:rPr>
          <w:rFonts w:eastAsia="Calibri"/>
          <w:b/>
          <w:kern w:val="0"/>
          <w14:ligatures w14:val="none"/>
        </w:rPr>
        <w:lastRenderedPageBreak/>
        <w:t>Background</w:t>
      </w:r>
    </w:p>
    <w:p w14:paraId="3DD800CA" w14:textId="05AE231E" w:rsidR="00B73466" w:rsidRDefault="00664DFE" w:rsidP="006E0ABD">
      <w:pPr>
        <w:pStyle w:val="BodyTextIndent"/>
        <w:spacing w:before="0" w:after="160"/>
      </w:pPr>
      <w:r w:rsidRPr="00664DFE">
        <w:t xml:space="preserve">On March </w:t>
      </w:r>
      <w:r>
        <w:rPr>
          <w:bCs w:val="0"/>
        </w:rPr>
        <w:t>2</w:t>
      </w:r>
      <w:r w:rsidRPr="00664DFE">
        <w:t xml:space="preserve">, 2020, </w:t>
      </w:r>
      <w:r>
        <w:rPr>
          <w:bCs w:val="0"/>
        </w:rPr>
        <w:t>MPD Officer Lennon Baccus (</w:t>
      </w:r>
      <w:r w:rsidRPr="00664DFE">
        <w:t>Grievant</w:t>
      </w:r>
      <w:r>
        <w:rPr>
          <w:bCs w:val="0"/>
        </w:rPr>
        <w:t xml:space="preserve">) was arrested </w:t>
      </w:r>
      <w:r w:rsidR="00F251F9">
        <w:rPr>
          <w:bCs w:val="0"/>
        </w:rPr>
        <w:t xml:space="preserve">in Maryland </w:t>
      </w:r>
      <w:r w:rsidR="00B152C8">
        <w:rPr>
          <w:bCs w:val="0"/>
        </w:rPr>
        <w:t xml:space="preserve">and charged </w:t>
      </w:r>
      <w:r w:rsidR="007E5EC5">
        <w:rPr>
          <w:bCs w:val="0"/>
        </w:rPr>
        <w:t xml:space="preserve">with </w:t>
      </w:r>
      <w:r w:rsidR="005A6AD8">
        <w:rPr>
          <w:bCs w:val="0"/>
        </w:rPr>
        <w:t>burglary,</w:t>
      </w:r>
      <w:r w:rsidR="007B4AD3">
        <w:rPr>
          <w:bCs w:val="0"/>
        </w:rPr>
        <w:t xml:space="preserve"> trespass, and</w:t>
      </w:r>
      <w:r w:rsidR="005A6AD8">
        <w:rPr>
          <w:bCs w:val="0"/>
        </w:rPr>
        <w:t xml:space="preserve"> firearm possession</w:t>
      </w:r>
      <w:r>
        <w:rPr>
          <w:bCs w:val="0"/>
        </w:rPr>
        <w:t>.</w:t>
      </w:r>
      <w:r>
        <w:rPr>
          <w:rStyle w:val="FootnoteReference"/>
          <w:bCs w:val="0"/>
        </w:rPr>
        <w:footnoteReference w:id="2"/>
      </w:r>
      <w:r w:rsidR="00EE4508">
        <w:rPr>
          <w:bCs w:val="0"/>
        </w:rPr>
        <w:t xml:space="preserve"> </w:t>
      </w:r>
      <w:r w:rsidR="000223C7">
        <w:rPr>
          <w:bCs w:val="0"/>
        </w:rPr>
        <w:t xml:space="preserve"> </w:t>
      </w:r>
      <w:r w:rsidR="00EE4508">
        <w:rPr>
          <w:bCs w:val="0"/>
        </w:rPr>
        <w:t xml:space="preserve">On April 29, 2020, the </w:t>
      </w:r>
      <w:r w:rsidR="00EE4508" w:rsidRPr="000223C7">
        <w:rPr>
          <w:bCs w:val="0"/>
        </w:rPr>
        <w:t>Maryland State</w:t>
      </w:r>
      <w:r w:rsidR="00EE4508" w:rsidRPr="004F4B12">
        <w:rPr>
          <w:bCs w:val="0"/>
        </w:rPr>
        <w:t>’s</w:t>
      </w:r>
      <w:r w:rsidR="00EE4508" w:rsidRPr="000223C7">
        <w:rPr>
          <w:bCs w:val="0"/>
        </w:rPr>
        <w:t xml:space="preserve"> Attorney</w:t>
      </w:r>
      <w:r w:rsidR="000223C7" w:rsidRPr="004F4B12">
        <w:rPr>
          <w:bCs w:val="0"/>
        </w:rPr>
        <w:t>’</w:t>
      </w:r>
      <w:r w:rsidR="000223C7" w:rsidRPr="000223C7">
        <w:rPr>
          <w:bCs w:val="0"/>
        </w:rPr>
        <w:t>s</w:t>
      </w:r>
      <w:r w:rsidR="00EE4508" w:rsidRPr="000223C7">
        <w:rPr>
          <w:bCs w:val="0"/>
        </w:rPr>
        <w:t xml:space="preserve"> </w:t>
      </w:r>
      <w:r w:rsidR="00512E47" w:rsidRPr="000223C7">
        <w:rPr>
          <w:bCs w:val="0"/>
        </w:rPr>
        <w:t>o</w:t>
      </w:r>
      <w:r w:rsidR="00EE4508" w:rsidRPr="000223C7">
        <w:rPr>
          <w:bCs w:val="0"/>
        </w:rPr>
        <w:t>ffice made</w:t>
      </w:r>
      <w:r w:rsidR="00EE4508">
        <w:rPr>
          <w:bCs w:val="0"/>
        </w:rPr>
        <w:t xml:space="preserve"> an initial plea offer to the Grievant.</w:t>
      </w:r>
      <w:r w:rsidR="00512E47">
        <w:rPr>
          <w:rStyle w:val="FootnoteReference"/>
          <w:bCs w:val="0"/>
        </w:rPr>
        <w:footnoteReference w:id="3"/>
      </w:r>
      <w:r>
        <w:rPr>
          <w:bCs w:val="0"/>
        </w:rPr>
        <w:t xml:space="preserve">  </w:t>
      </w:r>
      <w:r w:rsidR="00F505D0">
        <w:rPr>
          <w:bCs w:val="0"/>
        </w:rPr>
        <w:t>On</w:t>
      </w:r>
      <w:r w:rsidR="0055559B">
        <w:rPr>
          <w:bCs w:val="0"/>
        </w:rPr>
        <w:t xml:space="preserve"> </w:t>
      </w:r>
      <w:r w:rsidR="0055559B" w:rsidRPr="0055559B">
        <w:t xml:space="preserve">November 20, 2020, </w:t>
      </w:r>
      <w:r w:rsidR="0055559B">
        <w:rPr>
          <w:bCs w:val="0"/>
        </w:rPr>
        <w:t>MPD</w:t>
      </w:r>
      <w:r w:rsidR="0055559B" w:rsidRPr="0055559B">
        <w:t xml:space="preserve"> served the Grievant with a Notice of Proposed Adverse Action</w:t>
      </w:r>
      <w:r w:rsidR="000223C7">
        <w:t xml:space="preserve"> (NPAA)</w:t>
      </w:r>
      <w:r w:rsidR="0055559B">
        <w:rPr>
          <w:bCs w:val="0"/>
        </w:rPr>
        <w:t xml:space="preserve"> based on the Grievant’s criminal charges.</w:t>
      </w:r>
      <w:r w:rsidR="00322E5D">
        <w:rPr>
          <w:rStyle w:val="FootnoteReference"/>
          <w:bCs w:val="0"/>
        </w:rPr>
        <w:footnoteReference w:id="4"/>
      </w:r>
      <w:r w:rsidR="0055559B">
        <w:rPr>
          <w:bCs w:val="0"/>
        </w:rPr>
        <w:t xml:space="preserve"> </w:t>
      </w:r>
      <w:r w:rsidR="00837D2C">
        <w:rPr>
          <w:bCs w:val="0"/>
        </w:rPr>
        <w:t xml:space="preserve"> An MPD </w:t>
      </w:r>
      <w:r w:rsidR="00837D2C" w:rsidRPr="00837D2C">
        <w:t>Adverse Action Panel</w:t>
      </w:r>
      <w:r w:rsidR="004A218C">
        <w:t xml:space="preserve"> </w:t>
      </w:r>
      <w:r w:rsidR="00837D2C">
        <w:rPr>
          <w:bCs w:val="0"/>
        </w:rPr>
        <w:t>found the Grievant guilty of all but two charges and specifications.</w:t>
      </w:r>
      <w:r w:rsidR="00837D2C">
        <w:rPr>
          <w:rStyle w:val="FootnoteReference"/>
          <w:bCs w:val="0"/>
        </w:rPr>
        <w:footnoteReference w:id="5"/>
      </w:r>
      <w:r w:rsidR="00215FF6">
        <w:rPr>
          <w:bCs w:val="0"/>
        </w:rPr>
        <w:t xml:space="preserve">  </w:t>
      </w:r>
      <w:r w:rsidR="00B152C8">
        <w:rPr>
          <w:bCs w:val="0"/>
        </w:rPr>
        <w:t xml:space="preserve">Subsequently, </w:t>
      </w:r>
      <w:r w:rsidR="00215FF6" w:rsidRPr="00215FF6">
        <w:t>MPD issued a Final Notice of Adverse Action informing the Grievant of his termination</w:t>
      </w:r>
      <w:r w:rsidR="000223C7">
        <w:t>,</w:t>
      </w:r>
      <w:r w:rsidR="00215FF6" w:rsidRPr="00215FF6">
        <w:t xml:space="preserve"> effective July 29, 2021.</w:t>
      </w:r>
      <w:r w:rsidR="00215FF6" w:rsidRPr="00215FF6">
        <w:rPr>
          <w:vertAlign w:val="superscript"/>
        </w:rPr>
        <w:footnoteReference w:id="6"/>
      </w:r>
      <w:r w:rsidR="007E1510">
        <w:rPr>
          <w:bCs w:val="0"/>
        </w:rPr>
        <w:t xml:space="preserve">  </w:t>
      </w:r>
      <w:r w:rsidR="004A218C">
        <w:rPr>
          <w:bCs w:val="0"/>
        </w:rPr>
        <w:t xml:space="preserve">Thereafter, </w:t>
      </w:r>
      <w:r w:rsidR="007E1510" w:rsidRPr="007E1510">
        <w:t>FOP invoked arbitration on behalf of the Grievant.</w:t>
      </w:r>
      <w:r w:rsidR="007E1510" w:rsidRPr="007E1510">
        <w:rPr>
          <w:vertAlign w:val="superscript"/>
        </w:rPr>
        <w:footnoteReference w:id="7"/>
      </w:r>
    </w:p>
    <w:p w14:paraId="65CB9C82" w14:textId="1F2BE700" w:rsidR="00CE2DF9" w:rsidRDefault="00243DDB" w:rsidP="00DE6DA9">
      <w:pPr>
        <w:pStyle w:val="BodyTextIndent"/>
        <w:spacing w:before="0" w:after="160"/>
        <w:rPr>
          <w:rFonts w:eastAsiaTheme="minorHAnsi"/>
          <w:bCs w:val="0"/>
          <w:kern w:val="2"/>
          <w14:ligatures w14:val="standardContextual"/>
        </w:rPr>
      </w:pPr>
      <w:r w:rsidRPr="00A40DB5">
        <w:rPr>
          <w:rFonts w:eastAsiaTheme="minorHAnsi"/>
          <w:bCs w:val="0"/>
          <w:kern w:val="2"/>
          <w14:ligatures w14:val="standardContextual"/>
        </w:rPr>
        <w:t>The Arbitrator</w:t>
      </w:r>
      <w:r w:rsidR="00DD491B">
        <w:rPr>
          <w:rFonts w:eastAsiaTheme="minorHAnsi"/>
          <w:bCs w:val="0"/>
          <w:kern w:val="2"/>
          <w14:ligatures w14:val="standardContextual"/>
        </w:rPr>
        <w:t xml:space="preserve"> determined that the dispositive issue was whether MPD issued its </w:t>
      </w:r>
      <w:r w:rsidR="000223C7">
        <w:rPr>
          <w:rFonts w:eastAsiaTheme="minorHAnsi"/>
          <w:bCs w:val="0"/>
          <w:kern w:val="2"/>
          <w14:ligatures w14:val="standardContextual"/>
        </w:rPr>
        <w:t>NPAA</w:t>
      </w:r>
      <w:r w:rsidR="00DD491B">
        <w:rPr>
          <w:rFonts w:eastAsiaTheme="minorHAnsi"/>
          <w:bCs w:val="0"/>
          <w:kern w:val="2"/>
          <w14:ligatures w14:val="standardContextual"/>
        </w:rPr>
        <w:t xml:space="preserve"> in a timely manner, in accordance with D.C. Official Code § 5-1031(a-1) (</w:t>
      </w:r>
      <w:r w:rsidR="000223C7">
        <w:rPr>
          <w:rFonts w:eastAsiaTheme="minorHAnsi"/>
          <w:bCs w:val="0"/>
          <w:kern w:val="2"/>
          <w14:ligatures w14:val="standardContextual"/>
        </w:rPr>
        <w:t>the “</w:t>
      </w:r>
      <w:r w:rsidR="00DD491B">
        <w:rPr>
          <w:rFonts w:eastAsiaTheme="minorHAnsi"/>
          <w:bCs w:val="0"/>
          <w:kern w:val="2"/>
          <w14:ligatures w14:val="standardContextual"/>
        </w:rPr>
        <w:t>90-day rule</w:t>
      </w:r>
      <w:r w:rsidR="000223C7">
        <w:rPr>
          <w:rFonts w:eastAsiaTheme="minorHAnsi"/>
          <w:bCs w:val="0"/>
          <w:kern w:val="2"/>
          <w14:ligatures w14:val="standardContextual"/>
        </w:rPr>
        <w:t>”</w:t>
      </w:r>
      <w:r w:rsidR="00DD491B">
        <w:rPr>
          <w:rFonts w:eastAsiaTheme="minorHAnsi"/>
          <w:bCs w:val="0"/>
          <w:kern w:val="2"/>
          <w14:ligatures w14:val="standardContextual"/>
        </w:rPr>
        <w:t>).</w:t>
      </w:r>
      <w:r w:rsidR="00C7521E">
        <w:rPr>
          <w:rFonts w:eastAsiaTheme="minorHAnsi"/>
          <w:bCs w:val="0"/>
          <w:kern w:val="2"/>
          <w14:ligatures w14:val="standardContextual"/>
        </w:rPr>
        <w:t xml:space="preserve"> </w:t>
      </w:r>
      <w:r w:rsidR="00DD491B">
        <w:rPr>
          <w:rFonts w:eastAsiaTheme="minorHAnsi"/>
          <w:bCs w:val="0"/>
          <w:kern w:val="2"/>
          <w14:ligatures w14:val="standardContextual"/>
        </w:rPr>
        <w:t xml:space="preserve"> The 90-day rule required MPD to commence adverse action</w:t>
      </w:r>
      <w:r w:rsidRPr="00A40DB5">
        <w:rPr>
          <w:rFonts w:eastAsiaTheme="minorHAnsi"/>
          <w:bCs w:val="0"/>
          <w:kern w:val="2"/>
          <w14:ligatures w14:val="standardContextual"/>
        </w:rPr>
        <w:t xml:space="preserve"> </w:t>
      </w:r>
      <w:r w:rsidRPr="00243DDB">
        <w:t>within 90 business days of the time that MPD knew or should have known of the misconduct at issue</w:t>
      </w:r>
      <w:r>
        <w:t>.</w:t>
      </w:r>
      <w:r>
        <w:rPr>
          <w:rStyle w:val="FootnoteReference"/>
        </w:rPr>
        <w:footnoteReference w:id="8"/>
      </w:r>
      <w:r w:rsidR="00F251F9">
        <w:t xml:space="preserve">  When the misconduct is the subject of a criminal investigation, </w:t>
      </w:r>
      <w:r w:rsidR="00F251F9" w:rsidRPr="00C0776E">
        <w:t>the 90-day period</w:t>
      </w:r>
      <w:r w:rsidR="00F251F9">
        <w:t xml:space="preserve"> was tolled</w:t>
      </w:r>
      <w:r w:rsidR="00F251F9" w:rsidRPr="00C0776E">
        <w:t xml:space="preserve"> “until the conclusion of the investigation.”</w:t>
      </w:r>
      <w:r w:rsidR="00F251F9">
        <w:rPr>
          <w:rStyle w:val="FootnoteReference"/>
        </w:rPr>
        <w:footnoteReference w:id="9"/>
      </w:r>
      <w:r w:rsidR="00F251F9">
        <w:t xml:space="preserve">  </w:t>
      </w:r>
      <w:r w:rsidR="008A2FCA">
        <w:t xml:space="preserve">The Arbitrator found that the criminal investigation concluded </w:t>
      </w:r>
      <w:r w:rsidR="000223C7">
        <w:t xml:space="preserve">when </w:t>
      </w:r>
      <w:r w:rsidR="008A2FCA">
        <w:t>the Ma</w:t>
      </w:r>
      <w:r w:rsidR="00FF1397">
        <w:t>ryland State’s Attorney</w:t>
      </w:r>
      <w:r w:rsidR="000223C7">
        <w:t>’s</w:t>
      </w:r>
      <w:r w:rsidR="00FF1397">
        <w:t xml:space="preserve"> </w:t>
      </w:r>
      <w:r w:rsidR="000223C7">
        <w:t xml:space="preserve">Office made an </w:t>
      </w:r>
      <w:r w:rsidR="00FF1397">
        <w:t xml:space="preserve">initial plea </w:t>
      </w:r>
      <w:r w:rsidR="000223C7">
        <w:t>offer to the Grievant</w:t>
      </w:r>
      <w:r w:rsidR="00913285">
        <w:t xml:space="preserve"> on </w:t>
      </w:r>
      <w:r w:rsidR="005555FC">
        <w:t>April 29, 2020</w:t>
      </w:r>
      <w:r w:rsidR="00FF1397">
        <w:t>.</w:t>
      </w:r>
      <w:r w:rsidR="004F4AFC">
        <w:rPr>
          <w:rStyle w:val="FootnoteReference"/>
        </w:rPr>
        <w:footnoteReference w:id="10"/>
      </w:r>
      <w:r w:rsidR="00C7521E">
        <w:t xml:space="preserve"> </w:t>
      </w:r>
      <w:r w:rsidR="00FF1397">
        <w:t xml:space="preserve"> </w:t>
      </w:r>
      <w:r w:rsidR="00F251F9" w:rsidRPr="00C0776E">
        <w:t>The</w:t>
      </w:r>
      <w:r w:rsidR="00BC4245">
        <w:t>refore</w:t>
      </w:r>
      <w:r w:rsidR="00890D93">
        <w:t>,</w:t>
      </w:r>
      <w:r w:rsidR="003F4ECB">
        <w:t xml:space="preserve"> </w:t>
      </w:r>
      <w:r w:rsidR="00B152C8">
        <w:t xml:space="preserve">the </w:t>
      </w:r>
      <w:r w:rsidR="00F251F9" w:rsidRPr="00C0776E">
        <w:t xml:space="preserve">Arbitrator </w:t>
      </w:r>
      <w:r w:rsidR="00B152C8">
        <w:t>found</w:t>
      </w:r>
      <w:r w:rsidR="00DD491B">
        <w:t xml:space="preserve"> that</w:t>
      </w:r>
      <w:r w:rsidR="00F251F9">
        <w:t xml:space="preserve"> </w:t>
      </w:r>
      <w:r w:rsidR="00DD491B">
        <w:t xml:space="preserve">MPD untimely issued its </w:t>
      </w:r>
      <w:r w:rsidR="000223C7">
        <w:t>NPAA</w:t>
      </w:r>
      <w:r w:rsidR="0089032E">
        <w:t xml:space="preserve">, </w:t>
      </w:r>
      <w:r w:rsidR="003E5CBA">
        <w:t>more than 90</w:t>
      </w:r>
      <w:r w:rsidR="000223C7">
        <w:t xml:space="preserve"> </w:t>
      </w:r>
      <w:r w:rsidR="003E5CBA">
        <w:t xml:space="preserve">days after </w:t>
      </w:r>
      <w:r w:rsidR="00DD491B">
        <w:t xml:space="preserve">the </w:t>
      </w:r>
      <w:r w:rsidR="00890D93">
        <w:t>conclusion of the</w:t>
      </w:r>
      <w:r w:rsidR="00B152C8">
        <w:t xml:space="preserve"> </w:t>
      </w:r>
      <w:r w:rsidR="00DE6DA9">
        <w:t>criminal</w:t>
      </w:r>
      <w:r w:rsidR="00F251F9" w:rsidRPr="00C0776E">
        <w:t xml:space="preserve"> investigation</w:t>
      </w:r>
      <w:r w:rsidR="000223C7">
        <w:t>.</w:t>
      </w:r>
      <w:r w:rsidR="00F251F9">
        <w:rPr>
          <w:rStyle w:val="FootnoteReference"/>
          <w:rFonts w:eastAsiaTheme="minorHAnsi"/>
          <w:bCs w:val="0"/>
          <w:kern w:val="2"/>
          <w14:ligatures w14:val="standardContextual"/>
        </w:rPr>
        <w:footnoteReference w:id="11"/>
      </w:r>
      <w:r w:rsidR="00F251F9">
        <w:rPr>
          <w:rFonts w:eastAsiaTheme="minorHAnsi"/>
          <w:bCs w:val="0"/>
          <w:kern w:val="2"/>
          <w14:ligatures w14:val="standardContextual"/>
        </w:rPr>
        <w:t xml:space="preserve">  </w:t>
      </w:r>
      <w:r w:rsidR="00F251F9" w:rsidRPr="00F251F9">
        <w:rPr>
          <w:rFonts w:eastAsiaTheme="minorHAnsi"/>
          <w:bCs w:val="0"/>
          <w:kern w:val="2"/>
          <w14:ligatures w14:val="standardContextual"/>
        </w:rPr>
        <w:t xml:space="preserve">Based on this determination, the Arbitrator </w:t>
      </w:r>
      <w:r w:rsidR="00DE6DA9">
        <w:rPr>
          <w:rFonts w:eastAsiaTheme="minorHAnsi"/>
          <w:bCs w:val="0"/>
          <w:kern w:val="2"/>
          <w14:ligatures w14:val="standardContextual"/>
        </w:rPr>
        <w:t>dismissed the</w:t>
      </w:r>
      <w:r w:rsidR="00DD491B">
        <w:rPr>
          <w:rFonts w:eastAsiaTheme="minorHAnsi"/>
          <w:bCs w:val="0"/>
          <w:kern w:val="2"/>
          <w14:ligatures w14:val="standardContextual"/>
        </w:rPr>
        <w:t xml:space="preserve"> </w:t>
      </w:r>
      <w:r w:rsidR="00DE6DA9">
        <w:rPr>
          <w:rFonts w:eastAsiaTheme="minorHAnsi"/>
          <w:bCs w:val="0"/>
          <w:kern w:val="2"/>
          <w14:ligatures w14:val="standardContextual"/>
        </w:rPr>
        <w:t>charges against the Grievant and</w:t>
      </w:r>
      <w:r w:rsidR="00DD491B">
        <w:rPr>
          <w:rFonts w:eastAsiaTheme="minorHAnsi"/>
          <w:bCs w:val="0"/>
          <w:kern w:val="2"/>
          <w14:ligatures w14:val="standardContextual"/>
        </w:rPr>
        <w:t xml:space="preserve"> </w:t>
      </w:r>
      <w:r w:rsidR="00EF26EE">
        <w:rPr>
          <w:rFonts w:eastAsiaTheme="minorHAnsi"/>
          <w:bCs w:val="0"/>
          <w:kern w:val="2"/>
          <w14:ligatures w14:val="standardContextual"/>
        </w:rPr>
        <w:t>reversed the Grievant’s termination.</w:t>
      </w:r>
      <w:r w:rsidR="00EF26EE">
        <w:rPr>
          <w:rStyle w:val="FootnoteReference"/>
          <w:rFonts w:eastAsiaTheme="minorHAnsi"/>
          <w:bCs w:val="0"/>
          <w:kern w:val="2"/>
          <w14:ligatures w14:val="standardContextual"/>
        </w:rPr>
        <w:footnoteReference w:id="12"/>
      </w:r>
      <w:r w:rsidR="00EF26EE">
        <w:rPr>
          <w:rFonts w:eastAsiaTheme="minorHAnsi"/>
          <w:bCs w:val="0"/>
          <w:kern w:val="2"/>
          <w14:ligatures w14:val="standardContextual"/>
        </w:rPr>
        <w:t xml:space="preserve"> </w:t>
      </w:r>
    </w:p>
    <w:p w14:paraId="18E66513" w14:textId="0816A053" w:rsidR="00CE2DF9" w:rsidRDefault="00B152C8" w:rsidP="00912E31">
      <w:pPr>
        <w:pStyle w:val="BodyTextIndent"/>
        <w:spacing w:before="0" w:after="160"/>
        <w:rPr>
          <w:rFonts w:eastAsiaTheme="minorHAnsi"/>
          <w:bCs w:val="0"/>
          <w:kern w:val="2"/>
          <w14:ligatures w14:val="standardContextual"/>
        </w:rPr>
      </w:pPr>
      <w:r>
        <w:rPr>
          <w:rFonts w:eastAsiaTheme="minorHAnsi"/>
          <w:bCs w:val="0"/>
          <w:kern w:val="2"/>
          <w14:ligatures w14:val="standardContextual"/>
        </w:rPr>
        <w:t xml:space="preserve">On </w:t>
      </w:r>
      <w:r w:rsidR="000223C7">
        <w:rPr>
          <w:rFonts w:eastAsiaTheme="minorHAnsi"/>
          <w:bCs w:val="0"/>
          <w:kern w:val="2"/>
          <w14:ligatures w14:val="standardContextual"/>
        </w:rPr>
        <w:t>September 21, 2022</w:t>
      </w:r>
      <w:r>
        <w:rPr>
          <w:rFonts w:eastAsiaTheme="minorHAnsi"/>
          <w:bCs w:val="0"/>
          <w:kern w:val="2"/>
          <w14:ligatures w14:val="standardContextual"/>
        </w:rPr>
        <w:t xml:space="preserve">, </w:t>
      </w:r>
      <w:r w:rsidR="00CE2DF9" w:rsidRPr="00CE2DF9">
        <w:rPr>
          <w:rFonts w:eastAsiaTheme="minorHAnsi"/>
          <w:bCs w:val="0"/>
          <w:kern w:val="2"/>
          <w14:ligatures w14:val="standardContextual"/>
        </w:rPr>
        <w:t xml:space="preserve">MPD filed an arbitration review request (Request) with the Board, challenging the Arbitrator’s decision to reverse the Grievant’s termination as contrary to law and </w:t>
      </w:r>
      <w:r w:rsidR="00CE2DF9" w:rsidRPr="00CE2DF9">
        <w:rPr>
          <w:rFonts w:eastAsiaTheme="minorHAnsi"/>
          <w:bCs w:val="0"/>
          <w:kern w:val="2"/>
          <w14:ligatures w14:val="standardContextual"/>
        </w:rPr>
        <w:lastRenderedPageBreak/>
        <w:t>public policy.</w:t>
      </w:r>
      <w:r w:rsidR="00CE2DF9" w:rsidRPr="00CE2DF9">
        <w:rPr>
          <w:rFonts w:eastAsiaTheme="minorHAnsi"/>
          <w:bCs w:val="0"/>
          <w:kern w:val="2"/>
          <w:vertAlign w:val="superscript"/>
          <w14:ligatures w14:val="standardContextual"/>
        </w:rPr>
        <w:footnoteReference w:id="13"/>
      </w:r>
      <w:r w:rsidR="00CE2DF9" w:rsidRPr="00CE2DF9">
        <w:rPr>
          <w:rFonts w:eastAsiaTheme="minorHAnsi"/>
          <w:bCs w:val="0"/>
          <w:kern w:val="2"/>
          <w14:ligatures w14:val="standardContextual"/>
        </w:rPr>
        <w:t xml:space="preserve">  The Board denied MPD’s Request.</w:t>
      </w:r>
      <w:r w:rsidR="00CE2DF9" w:rsidRPr="00CE2DF9">
        <w:rPr>
          <w:rFonts w:eastAsiaTheme="minorHAnsi"/>
          <w:bCs w:val="0"/>
          <w:kern w:val="2"/>
          <w:vertAlign w:val="superscript"/>
          <w14:ligatures w14:val="standardContextual"/>
        </w:rPr>
        <w:footnoteReference w:id="14"/>
      </w:r>
      <w:r w:rsidR="00CE2DF9" w:rsidRPr="00CE2DF9">
        <w:rPr>
          <w:rFonts w:eastAsiaTheme="minorHAnsi"/>
          <w:bCs w:val="0"/>
          <w:kern w:val="2"/>
          <w14:ligatures w14:val="standardContextual"/>
        </w:rPr>
        <w:t xml:space="preserve">  MPD appealed the Board’s decision to the Superior Court of the District of Columbia</w:t>
      </w:r>
      <w:r w:rsidR="006E0ABD">
        <w:rPr>
          <w:rFonts w:eastAsiaTheme="minorHAnsi"/>
          <w:bCs w:val="0"/>
          <w:kern w:val="2"/>
          <w14:ligatures w14:val="standardContextual"/>
        </w:rPr>
        <w:t>.</w:t>
      </w:r>
    </w:p>
    <w:p w14:paraId="5CB35E5C" w14:textId="591FE6B0" w:rsidR="00F055E5" w:rsidRDefault="00B152C8" w:rsidP="00486587">
      <w:pPr>
        <w:pStyle w:val="BodyTextIndent"/>
      </w:pPr>
      <w:r>
        <w:t xml:space="preserve">While the appeal was pending before the Superior Court, </w:t>
      </w:r>
      <w:r w:rsidR="00F055E5" w:rsidRPr="00266BE1">
        <w:t>the Council of the District of Columbia (Council) enacted the Comprehensive Policing and Justice Reform Amendment Act of 2022 (Reform Act)</w:t>
      </w:r>
      <w:r>
        <w:t>, effective April 21, 2023</w:t>
      </w:r>
      <w:r w:rsidR="00F055E5" w:rsidRPr="00266BE1">
        <w:t>.</w:t>
      </w:r>
      <w:r w:rsidR="00F055E5" w:rsidRPr="00266BE1">
        <w:rPr>
          <w:vertAlign w:val="superscript"/>
        </w:rPr>
        <w:footnoteReference w:id="15"/>
      </w:r>
      <w:r w:rsidR="00F055E5" w:rsidRPr="00266BE1">
        <w:t xml:space="preserve">  The Reform Act repealed the 90-day rule, as it applied to MPD officers.</w:t>
      </w:r>
      <w:r w:rsidR="00F055E5" w:rsidRPr="00266BE1">
        <w:rPr>
          <w:vertAlign w:val="superscript"/>
        </w:rPr>
        <w:footnoteReference w:id="16"/>
      </w:r>
      <w:r w:rsidR="00F055E5" w:rsidRPr="00266BE1">
        <w:t xml:space="preserve">  The </w:t>
      </w:r>
      <w:r w:rsidR="00B01534">
        <w:t>Reform Act expressly applies “</w:t>
      </w:r>
      <w:r w:rsidR="00F055E5" w:rsidRPr="00266BE1">
        <w:t>retroactively to any matter pending</w:t>
      </w:r>
      <w:r w:rsidR="00F055E5" w:rsidRPr="000223C7">
        <w:t>,</w:t>
      </w:r>
      <w:r w:rsidR="00F055E5" w:rsidRPr="00266BE1">
        <w:t xml:space="preserve"> before any court or adjudicatory body</w:t>
      </w:r>
      <w:r w:rsidR="008D49BC">
        <w:t>”</w:t>
      </w:r>
      <w:r w:rsidR="00F055E5" w:rsidRPr="00266BE1">
        <w:t xml:space="preserve"> as of </w:t>
      </w:r>
      <w:r w:rsidR="008D49BC">
        <w:t xml:space="preserve"> its</w:t>
      </w:r>
      <w:r w:rsidR="00F055E5" w:rsidRPr="00266BE1">
        <w:t xml:space="preserve"> effective date</w:t>
      </w:r>
      <w:r w:rsidR="008D49BC">
        <w:t>.</w:t>
      </w:r>
      <w:r w:rsidR="00F055E5" w:rsidRPr="00266BE1">
        <w:rPr>
          <w:vertAlign w:val="superscript"/>
        </w:rPr>
        <w:footnoteReference w:id="17"/>
      </w:r>
      <w:r w:rsidR="00F055E5" w:rsidRPr="00266BE1">
        <w:t xml:space="preserve">  </w:t>
      </w:r>
    </w:p>
    <w:p w14:paraId="5FADDB9F" w14:textId="6A47C1DC" w:rsidR="00441FF1" w:rsidRPr="00266BE1" w:rsidRDefault="007B141F" w:rsidP="00441FF1">
      <w:pPr>
        <w:pStyle w:val="BodyTextIndent"/>
      </w:pPr>
      <w:r>
        <w:t>On September 5, 2023, t</w:t>
      </w:r>
      <w:r w:rsidR="00441FF1">
        <w:t>he Superior Court remanded the case back to the Board “</w:t>
      </w:r>
      <w:r w:rsidR="00441FF1" w:rsidRPr="00441FF1">
        <w:t xml:space="preserve">for consideration of the Comprehensive Policing and Justice Reform Amendment Act of 2022 in the context of the Comprehensive Merit Personnel Act and the termination of </w:t>
      </w:r>
      <w:r w:rsidR="00441FF1">
        <w:t>[the Grievant].”</w:t>
      </w:r>
      <w:r w:rsidR="00441FF1">
        <w:rPr>
          <w:rStyle w:val="FootnoteReference"/>
        </w:rPr>
        <w:footnoteReference w:id="18"/>
      </w:r>
    </w:p>
    <w:p w14:paraId="623F6FE9" w14:textId="77777777" w:rsidR="00F055E5" w:rsidRDefault="00F055E5" w:rsidP="007F3BDC">
      <w:pPr>
        <w:ind w:firstLine="720"/>
      </w:pPr>
    </w:p>
    <w:p w14:paraId="5FBED6E9" w14:textId="77777777" w:rsidR="007F3BDC" w:rsidRPr="007F3BDC" w:rsidRDefault="007F3BDC" w:rsidP="007F3BDC">
      <w:pPr>
        <w:numPr>
          <w:ilvl w:val="0"/>
          <w:numId w:val="4"/>
        </w:numPr>
        <w:spacing w:after="0" w:line="240" w:lineRule="auto"/>
        <w:ind w:left="720"/>
        <w:contextualSpacing/>
        <w:jc w:val="both"/>
        <w:rPr>
          <w:rFonts w:eastAsia="Calibri"/>
          <w:b/>
          <w:kern w:val="0"/>
          <w14:ligatures w14:val="none"/>
        </w:rPr>
      </w:pPr>
      <w:r w:rsidRPr="007F3BDC">
        <w:rPr>
          <w:rFonts w:eastAsia="Calibri"/>
          <w:b/>
          <w:kern w:val="0"/>
          <w14:ligatures w14:val="none"/>
        </w:rPr>
        <w:t>Discussion</w:t>
      </w:r>
    </w:p>
    <w:p w14:paraId="374784F5" w14:textId="77777777" w:rsidR="007F3BDC" w:rsidRPr="007F3BDC" w:rsidRDefault="007F3BDC" w:rsidP="007F3BDC">
      <w:pPr>
        <w:spacing w:before="240"/>
        <w:ind w:firstLine="720"/>
        <w:jc w:val="both"/>
        <w:rPr>
          <w:rFonts w:eastAsia="Calibri"/>
          <w:bCs/>
          <w:kern w:val="0"/>
          <w14:ligatures w14:val="none"/>
        </w:rPr>
      </w:pPr>
      <w:r w:rsidRPr="007F3BDC">
        <w:rPr>
          <w:rFonts w:eastAsia="Calibri"/>
          <w:bCs/>
          <w:kern w:val="0"/>
          <w14:ligatures w14:val="none"/>
        </w:rPr>
        <w:t xml:space="preserve">Section </w:t>
      </w:r>
      <w:bookmarkStart w:id="1" w:name="_Hlk129331416"/>
      <w:r w:rsidRPr="007F3BDC">
        <w:rPr>
          <w:rFonts w:eastAsia="Calibri"/>
          <w:bCs/>
          <w:kern w:val="0"/>
          <w14:ligatures w14:val="none"/>
        </w:rPr>
        <w:t xml:space="preserve">1-605.02(6) </w:t>
      </w:r>
      <w:bookmarkEnd w:id="1"/>
      <w:r w:rsidRPr="007F3BDC">
        <w:rPr>
          <w:rFonts w:eastAsia="Calibri"/>
          <w:bCs/>
          <w:kern w:val="0"/>
          <w14:ligatures w14:val="none"/>
        </w:rPr>
        <w:t>of the D.C. Official Code permits the Board to modify, set aside, or remand a grievance arbitration award in only three narrow circumstances: (1) if an arbitrator was without, or exceeded, his or her jurisdiction; (2) if the award on its face is contrary to law and public policy; or (3) if the award was procured by fraud, collusion or other similar and unlawful means.</w:t>
      </w:r>
      <w:r w:rsidRPr="007F3BDC">
        <w:rPr>
          <w:rFonts w:eastAsia="Calibri"/>
          <w:bCs/>
          <w:kern w:val="0"/>
          <w:vertAlign w:val="superscript"/>
          <w14:ligatures w14:val="none"/>
        </w:rPr>
        <w:footnoteReference w:id="19"/>
      </w:r>
      <w:r w:rsidRPr="007F3BDC">
        <w:rPr>
          <w:rFonts w:eastAsia="Calibri"/>
          <w:bCs/>
          <w:kern w:val="0"/>
          <w14:ligatures w14:val="none"/>
        </w:rPr>
        <w:t xml:space="preserve">  MPD requests review on the grounds that the Award is contrary to law and public policy.</w:t>
      </w:r>
      <w:r w:rsidRPr="007F3BDC">
        <w:rPr>
          <w:rFonts w:eastAsia="Calibri"/>
          <w:bCs/>
          <w:kern w:val="0"/>
          <w:vertAlign w:val="superscript"/>
          <w14:ligatures w14:val="none"/>
        </w:rPr>
        <w:footnoteReference w:id="20"/>
      </w:r>
    </w:p>
    <w:p w14:paraId="4DC47C73" w14:textId="039E5A1A" w:rsidR="007F3BDC" w:rsidRPr="007F3BDC" w:rsidRDefault="007F3BDC" w:rsidP="00486587">
      <w:pPr>
        <w:pStyle w:val="BodyTextIndent"/>
        <w:spacing w:after="160"/>
      </w:pPr>
      <w:r w:rsidRPr="007F3BDC">
        <w:t xml:space="preserve">In light of the Reform Act’s repeal of D.C. </w:t>
      </w:r>
      <w:r w:rsidR="000223C7">
        <w:t xml:space="preserve">Official </w:t>
      </w:r>
      <w:r w:rsidRPr="007F3BDC">
        <w:t>Code § 5-1031(a-1) and the</w:t>
      </w:r>
      <w:r w:rsidR="00B73466">
        <w:t xml:space="preserve"> </w:t>
      </w:r>
      <w:r>
        <w:t>Superior Court</w:t>
      </w:r>
      <w:r w:rsidR="00B73466">
        <w:t>’s order</w:t>
      </w:r>
      <w:r w:rsidRPr="007F3BDC">
        <w:t xml:space="preserve">, the Board </w:t>
      </w:r>
      <w:r w:rsidR="00486587">
        <w:t xml:space="preserve">grants MPD’s Request and </w:t>
      </w:r>
      <w:r w:rsidRPr="007F3BDC">
        <w:t>finds the Arbitrator’s Award to be contrary to law and public policy.  The</w:t>
      </w:r>
      <w:r w:rsidR="00486587">
        <w:t>refore, the</w:t>
      </w:r>
      <w:r w:rsidRPr="007F3BDC">
        <w:t xml:space="preserve"> Board vacates its prior decision </w:t>
      </w:r>
      <w:r w:rsidR="00F74C9B" w:rsidRPr="007F3BDC">
        <w:t>in Opinion</w:t>
      </w:r>
      <w:r w:rsidRPr="007F3BDC">
        <w:t xml:space="preserve"> No. </w:t>
      </w:r>
      <w:r>
        <w:t>1826</w:t>
      </w:r>
      <w:r w:rsidR="00486587">
        <w:t>.</w:t>
      </w:r>
      <w:r w:rsidRPr="007F3BDC">
        <w:t xml:space="preserve"> </w:t>
      </w:r>
      <w:r w:rsidR="00486587">
        <w:t xml:space="preserve"> The Award is remanded back to the </w:t>
      </w:r>
      <w:r w:rsidRPr="007F3BDC">
        <w:t>Arbitrator for further proceedings in accordance with this decision.</w:t>
      </w:r>
    </w:p>
    <w:p w14:paraId="05E732A1" w14:textId="77777777" w:rsidR="007F3BDC" w:rsidRPr="007F3BDC" w:rsidRDefault="007F3BDC" w:rsidP="007F3BDC">
      <w:pPr>
        <w:rPr>
          <w:rFonts w:eastAsia="Calibri"/>
          <w:b/>
          <w:kern w:val="0"/>
          <w:u w:val="single"/>
          <w14:ligatures w14:val="none"/>
        </w:rPr>
      </w:pPr>
    </w:p>
    <w:p w14:paraId="118DFEB7" w14:textId="77777777" w:rsidR="007F3BDC" w:rsidRPr="007F3BDC" w:rsidRDefault="007F3BDC" w:rsidP="007F3BDC">
      <w:pPr>
        <w:spacing w:after="0" w:line="240" w:lineRule="auto"/>
        <w:ind w:firstLine="360"/>
        <w:jc w:val="center"/>
        <w:rPr>
          <w:rFonts w:eastAsia="Calibri"/>
          <w:b/>
          <w:kern w:val="0"/>
          <w:u w:val="single"/>
          <w14:ligatures w14:val="none"/>
        </w:rPr>
      </w:pPr>
      <w:r w:rsidRPr="007F3BDC">
        <w:rPr>
          <w:rFonts w:eastAsia="Calibri"/>
          <w:b/>
          <w:kern w:val="0"/>
          <w:u w:val="single"/>
          <w14:ligatures w14:val="none"/>
        </w:rPr>
        <w:t>ORDER</w:t>
      </w:r>
    </w:p>
    <w:p w14:paraId="0F717D1D" w14:textId="77777777" w:rsidR="007F3BDC" w:rsidRPr="007F3BDC" w:rsidRDefault="007F3BDC" w:rsidP="007F3BDC">
      <w:pPr>
        <w:spacing w:after="0" w:line="240" w:lineRule="auto"/>
        <w:ind w:firstLine="360"/>
        <w:jc w:val="center"/>
        <w:rPr>
          <w:rFonts w:eastAsia="Calibri"/>
          <w:b/>
          <w:kern w:val="0"/>
          <w:u w:val="single"/>
          <w14:ligatures w14:val="none"/>
        </w:rPr>
      </w:pPr>
    </w:p>
    <w:p w14:paraId="0FD971B8" w14:textId="77777777" w:rsidR="007F3BDC" w:rsidRPr="007F3BDC" w:rsidRDefault="007F3BDC" w:rsidP="007F3BDC">
      <w:pPr>
        <w:spacing w:after="240" w:line="240" w:lineRule="auto"/>
        <w:jc w:val="both"/>
        <w:rPr>
          <w:rFonts w:eastAsia="Calibri"/>
          <w:b/>
          <w:kern w:val="0"/>
          <w:u w:val="single"/>
          <w14:ligatures w14:val="none"/>
        </w:rPr>
      </w:pPr>
      <w:r w:rsidRPr="007F3BDC">
        <w:rPr>
          <w:rFonts w:eastAsia="Calibri"/>
          <w:b/>
          <w:kern w:val="0"/>
          <w14:ligatures w14:val="none"/>
        </w:rPr>
        <w:t>IT IS HEREBY ORDERED THAT:</w:t>
      </w:r>
    </w:p>
    <w:p w14:paraId="23EC4B74" w14:textId="77777777" w:rsidR="007F3BDC" w:rsidRPr="007F3BDC" w:rsidRDefault="007F3BDC" w:rsidP="007F3BDC">
      <w:pPr>
        <w:numPr>
          <w:ilvl w:val="0"/>
          <w:numId w:val="5"/>
        </w:numPr>
        <w:spacing w:after="0" w:line="240" w:lineRule="auto"/>
        <w:ind w:left="1080"/>
        <w:contextualSpacing/>
        <w:jc w:val="both"/>
        <w:rPr>
          <w:rFonts w:eastAsia="Calibri"/>
          <w:bCs/>
          <w:kern w:val="0"/>
          <w14:ligatures w14:val="none"/>
        </w:rPr>
      </w:pPr>
      <w:r w:rsidRPr="007F3BDC">
        <w:rPr>
          <w:rFonts w:eastAsia="Calibri"/>
          <w:kern w:val="0"/>
          <w14:ligatures w14:val="none"/>
        </w:rPr>
        <w:t>The</w:t>
      </w:r>
      <w:r w:rsidRPr="007F3BDC">
        <w:rPr>
          <w:rFonts w:eastAsia="Calibri"/>
          <w:kern w:val="0"/>
          <w:sz w:val="20"/>
          <w:szCs w:val="20"/>
          <w14:ligatures w14:val="none"/>
        </w:rPr>
        <w:t xml:space="preserve"> </w:t>
      </w:r>
      <w:r w:rsidRPr="007F3BDC">
        <w:rPr>
          <w:rFonts w:eastAsia="Calibri"/>
          <w:kern w:val="0"/>
          <w14:ligatures w14:val="none"/>
        </w:rPr>
        <w:t>arbitration review request is granted;</w:t>
      </w:r>
    </w:p>
    <w:p w14:paraId="3B17700A" w14:textId="77777777" w:rsidR="007F3BDC" w:rsidRPr="007F3BDC" w:rsidRDefault="007F3BDC" w:rsidP="007F3BDC">
      <w:pPr>
        <w:spacing w:after="0" w:line="240" w:lineRule="auto"/>
        <w:contextualSpacing/>
        <w:jc w:val="both"/>
        <w:rPr>
          <w:rFonts w:eastAsia="Calibri"/>
          <w:bCs/>
          <w:kern w:val="0"/>
          <w14:ligatures w14:val="none"/>
        </w:rPr>
      </w:pPr>
    </w:p>
    <w:p w14:paraId="0D3213BE" w14:textId="5921F32B" w:rsidR="007F3BDC" w:rsidRPr="007F3BDC" w:rsidRDefault="007F3BDC" w:rsidP="007F3BDC">
      <w:pPr>
        <w:numPr>
          <w:ilvl w:val="0"/>
          <w:numId w:val="5"/>
        </w:numPr>
        <w:spacing w:after="0" w:line="240" w:lineRule="auto"/>
        <w:ind w:left="1080"/>
        <w:contextualSpacing/>
        <w:jc w:val="both"/>
        <w:rPr>
          <w:rFonts w:eastAsia="Calibri"/>
          <w:bCs/>
          <w:kern w:val="0"/>
          <w14:ligatures w14:val="none"/>
        </w:rPr>
      </w:pPr>
      <w:r w:rsidRPr="007F3BDC">
        <w:rPr>
          <w:rFonts w:eastAsia="Calibri"/>
          <w:kern w:val="0"/>
          <w14:ligatures w14:val="none"/>
        </w:rPr>
        <w:t xml:space="preserve">Opinion No. </w:t>
      </w:r>
      <w:r>
        <w:rPr>
          <w:rFonts w:eastAsia="Calibri"/>
          <w:kern w:val="0"/>
          <w14:ligatures w14:val="none"/>
        </w:rPr>
        <w:t>1826</w:t>
      </w:r>
      <w:r w:rsidRPr="007F3BDC">
        <w:rPr>
          <w:rFonts w:eastAsia="Calibri"/>
          <w:kern w:val="0"/>
          <w14:ligatures w14:val="none"/>
        </w:rPr>
        <w:t xml:space="preserve"> is vacated;</w:t>
      </w:r>
    </w:p>
    <w:p w14:paraId="552C06E9" w14:textId="77777777" w:rsidR="007F3BDC" w:rsidRPr="007F3BDC" w:rsidRDefault="007F3BDC" w:rsidP="007F3BDC">
      <w:pPr>
        <w:spacing w:after="0" w:line="240" w:lineRule="auto"/>
        <w:contextualSpacing/>
        <w:jc w:val="both"/>
        <w:rPr>
          <w:rFonts w:eastAsia="Calibri"/>
          <w:bCs/>
          <w:kern w:val="0"/>
          <w14:ligatures w14:val="none"/>
        </w:rPr>
      </w:pPr>
    </w:p>
    <w:p w14:paraId="1511FCE7" w14:textId="77777777" w:rsidR="007F3BDC" w:rsidRPr="007F3BDC" w:rsidRDefault="007F3BDC" w:rsidP="007F3BDC">
      <w:pPr>
        <w:numPr>
          <w:ilvl w:val="0"/>
          <w:numId w:val="5"/>
        </w:numPr>
        <w:spacing w:after="0" w:line="240" w:lineRule="auto"/>
        <w:ind w:left="1080"/>
        <w:contextualSpacing/>
        <w:jc w:val="both"/>
        <w:rPr>
          <w:rFonts w:eastAsia="Calibri"/>
          <w:bCs/>
          <w:kern w:val="0"/>
          <w14:ligatures w14:val="none"/>
        </w:rPr>
      </w:pPr>
      <w:r w:rsidRPr="007F3BDC">
        <w:rPr>
          <w:rFonts w:eastAsia="Calibri"/>
          <w:kern w:val="0"/>
          <w14:ligatures w14:val="none"/>
        </w:rPr>
        <w:lastRenderedPageBreak/>
        <w:t>This matter is remanded to the Arbitrator for further findings; and</w:t>
      </w:r>
    </w:p>
    <w:p w14:paraId="6E1FDEBD" w14:textId="77777777" w:rsidR="007F3BDC" w:rsidRPr="007F3BDC" w:rsidRDefault="007F3BDC" w:rsidP="007F3BDC">
      <w:pPr>
        <w:spacing w:after="0" w:line="240" w:lineRule="auto"/>
        <w:contextualSpacing/>
        <w:jc w:val="both"/>
        <w:rPr>
          <w:rFonts w:eastAsia="Calibri"/>
          <w:bCs/>
          <w:kern w:val="0"/>
          <w14:ligatures w14:val="none"/>
        </w:rPr>
      </w:pPr>
    </w:p>
    <w:p w14:paraId="57B0FB09" w14:textId="77777777" w:rsidR="007F3BDC" w:rsidRPr="007F3BDC" w:rsidRDefault="007F3BDC" w:rsidP="007F3BDC">
      <w:pPr>
        <w:numPr>
          <w:ilvl w:val="0"/>
          <w:numId w:val="5"/>
        </w:numPr>
        <w:spacing w:line="240" w:lineRule="auto"/>
        <w:ind w:left="1080"/>
        <w:contextualSpacing/>
        <w:jc w:val="both"/>
        <w:rPr>
          <w:rFonts w:eastAsia="Calibri"/>
          <w:bCs/>
          <w:kern w:val="0"/>
          <w14:ligatures w14:val="none"/>
        </w:rPr>
      </w:pPr>
      <w:r w:rsidRPr="007F3BDC">
        <w:rPr>
          <w:rFonts w:eastAsia="Calibri"/>
          <w:bCs/>
          <w:kern w:val="0"/>
          <w14:ligatures w14:val="none"/>
        </w:rPr>
        <w:t>Pursuant to Board Rule 559.1, this Decision and Order is final upon issuance.</w:t>
      </w:r>
      <w:r w:rsidRPr="007F3BDC">
        <w:rPr>
          <w:rFonts w:eastAsia="Calibri"/>
          <w:bCs/>
          <w:kern w:val="0"/>
          <w14:ligatures w14:val="none"/>
        </w:rPr>
        <w:cr/>
      </w:r>
    </w:p>
    <w:p w14:paraId="3B9B6435" w14:textId="77777777" w:rsidR="007F3BDC" w:rsidRPr="007F3BDC" w:rsidRDefault="007F3BDC" w:rsidP="007F3BDC">
      <w:pPr>
        <w:spacing w:after="240" w:line="240" w:lineRule="auto"/>
        <w:jc w:val="both"/>
        <w:rPr>
          <w:rFonts w:eastAsia="Calibri"/>
          <w:b/>
          <w:kern w:val="0"/>
          <w14:ligatures w14:val="none"/>
        </w:rPr>
      </w:pPr>
      <w:r w:rsidRPr="007F3BDC">
        <w:rPr>
          <w:rFonts w:eastAsia="Calibri"/>
          <w:b/>
          <w:kern w:val="0"/>
          <w14:ligatures w14:val="none"/>
        </w:rPr>
        <w:t>BY ORDER OF THE PUBLIC EMPLOYEE RELATIONS BOARD</w:t>
      </w:r>
    </w:p>
    <w:p w14:paraId="60A1D64B" w14:textId="77777777" w:rsidR="00E2460D" w:rsidRPr="00E2460D" w:rsidRDefault="00E2460D" w:rsidP="00E2460D">
      <w:pPr>
        <w:spacing w:after="240" w:line="240" w:lineRule="auto"/>
        <w:jc w:val="both"/>
        <w:rPr>
          <w:rFonts w:eastAsia="Calibri"/>
          <w:kern w:val="0"/>
          <w14:ligatures w14:val="none"/>
        </w:rPr>
      </w:pPr>
      <w:r w:rsidRPr="00E2460D">
        <w:rPr>
          <w:rFonts w:eastAsia="Calibri"/>
          <w:kern w:val="0"/>
          <w14:ligatures w14:val="none"/>
        </w:rPr>
        <w:t>By vote of Board Chairperson Douglas Warshof and Members Renee Bowser, and Mary Anne Gibbons.</w:t>
      </w:r>
    </w:p>
    <w:p w14:paraId="28DAD5CC" w14:textId="5DFD43DE" w:rsidR="007F3BDC" w:rsidRPr="007F3BDC" w:rsidRDefault="007F3BDC" w:rsidP="007F3BDC">
      <w:pPr>
        <w:spacing w:after="240" w:line="240" w:lineRule="auto"/>
        <w:jc w:val="both"/>
        <w:rPr>
          <w:rFonts w:eastAsia="Calibri"/>
          <w:kern w:val="0"/>
          <w14:ligatures w14:val="none"/>
        </w:rPr>
      </w:pPr>
      <w:r w:rsidRPr="007F3BDC">
        <w:rPr>
          <w:rFonts w:eastAsia="Calibri"/>
          <w:kern w:val="0"/>
          <w14:ligatures w14:val="none"/>
        </w:rPr>
        <w:br/>
      </w:r>
      <w:r>
        <w:rPr>
          <w:rFonts w:eastAsia="Calibri"/>
          <w:kern w:val="0"/>
          <w14:ligatures w14:val="none"/>
        </w:rPr>
        <w:t>October 19</w:t>
      </w:r>
      <w:r w:rsidRPr="007F3BDC">
        <w:rPr>
          <w:rFonts w:eastAsia="Calibri"/>
          <w:kern w:val="0"/>
          <w14:ligatures w14:val="none"/>
        </w:rPr>
        <w:t>, 2023</w:t>
      </w:r>
    </w:p>
    <w:p w14:paraId="6E48CBD2" w14:textId="77777777" w:rsidR="007F3BDC" w:rsidRPr="007F3BDC" w:rsidRDefault="007F3BDC" w:rsidP="007F3BDC">
      <w:pPr>
        <w:tabs>
          <w:tab w:val="center" w:pos="4680"/>
        </w:tabs>
        <w:spacing w:after="0" w:line="240" w:lineRule="auto"/>
        <w:jc w:val="both"/>
        <w:rPr>
          <w:rFonts w:eastAsia="Calibri"/>
          <w:b/>
          <w:kern w:val="0"/>
          <w14:ligatures w14:val="none"/>
        </w:rPr>
      </w:pPr>
      <w:r w:rsidRPr="007F3BDC">
        <w:rPr>
          <w:rFonts w:eastAsia="Calibri"/>
          <w:b/>
          <w:kern w:val="0"/>
          <w14:ligatures w14:val="none"/>
        </w:rPr>
        <w:t>Washington, D.C.</w:t>
      </w:r>
    </w:p>
    <w:p w14:paraId="57643E73" w14:textId="6F7AB995" w:rsidR="007F3BDC" w:rsidRDefault="007F3BDC" w:rsidP="00B73466">
      <w:pPr>
        <w:pStyle w:val="Header"/>
        <w:tabs>
          <w:tab w:val="clear" w:pos="4680"/>
          <w:tab w:val="clear" w:pos="9360"/>
        </w:tabs>
        <w:spacing w:after="160" w:line="259" w:lineRule="auto"/>
      </w:pPr>
    </w:p>
    <w:p w14:paraId="74E5AEF6" w14:textId="2A761AC4" w:rsidR="00E2460D" w:rsidRDefault="00E2460D">
      <w:r>
        <w:br w:type="page"/>
      </w:r>
    </w:p>
    <w:p w14:paraId="75505268" w14:textId="77777777" w:rsidR="00E2460D" w:rsidRPr="00266BE1" w:rsidRDefault="00E2460D" w:rsidP="00E2460D">
      <w:pPr>
        <w:spacing w:after="200" w:line="240" w:lineRule="auto"/>
        <w:ind w:left="720"/>
        <w:jc w:val="center"/>
        <w:rPr>
          <w:rFonts w:eastAsia="Calibri"/>
          <w:b/>
          <w:kern w:val="0"/>
          <w:u w:val="single"/>
          <w14:ligatures w14:val="none"/>
        </w:rPr>
      </w:pPr>
      <w:r w:rsidRPr="00266BE1">
        <w:rPr>
          <w:rFonts w:eastAsia="Calibri"/>
          <w:b/>
          <w:bCs/>
          <w:kern w:val="0"/>
          <w:u w:val="single"/>
          <w14:ligatures w14:val="none"/>
        </w:rPr>
        <w:lastRenderedPageBreak/>
        <w:t>APPEAL RIGHTS</w:t>
      </w:r>
    </w:p>
    <w:p w14:paraId="25765891" w14:textId="77777777" w:rsidR="00E2460D" w:rsidRPr="00266BE1" w:rsidRDefault="00E2460D" w:rsidP="00E2460D">
      <w:pPr>
        <w:spacing w:after="200" w:line="240" w:lineRule="auto"/>
        <w:jc w:val="both"/>
        <w:rPr>
          <w:rFonts w:eastAsia="Calibri"/>
          <w:kern w:val="0"/>
          <w:u w:val="single"/>
          <w14:ligatures w14:val="none"/>
        </w:rPr>
      </w:pPr>
      <w:r w:rsidRPr="00266BE1">
        <w:rPr>
          <w:rFonts w:eastAsia="Calibri"/>
          <w:bCs/>
          <w:kern w:val="0"/>
          <w14:ligatures w14:val="none"/>
        </w:rPr>
        <w:t>Pursuant to Board Rule 559.2, a party may file a motion for reconsideration within fourteen (14) days, requesting the Board to reconsider its decision. Additionally, a final decision by the Board may be appealed to the District of Columbia Superior Court pursuant to D.C. Official Code §§ 1-605.2(12) and 1-617.13(c), which provide thirty (30) days after a Board decision is issued to file an appeal.</w:t>
      </w:r>
    </w:p>
    <w:p w14:paraId="0FED8D60" w14:textId="77777777" w:rsidR="00E2460D" w:rsidRDefault="00E2460D" w:rsidP="00B73466">
      <w:pPr>
        <w:pStyle w:val="Header"/>
        <w:tabs>
          <w:tab w:val="clear" w:pos="4680"/>
          <w:tab w:val="clear" w:pos="9360"/>
        </w:tabs>
        <w:spacing w:after="160" w:line="259" w:lineRule="auto"/>
      </w:pPr>
    </w:p>
    <w:sectPr w:rsidR="00E2460D" w:rsidSect="006E6E28">
      <w:head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091D88" w14:textId="77777777" w:rsidR="00B65C0D" w:rsidRDefault="00B65C0D" w:rsidP="007F3BDC">
      <w:pPr>
        <w:spacing w:after="0" w:line="240" w:lineRule="auto"/>
      </w:pPr>
      <w:r>
        <w:separator/>
      </w:r>
    </w:p>
  </w:endnote>
  <w:endnote w:type="continuationSeparator" w:id="0">
    <w:p w14:paraId="77303763" w14:textId="77777777" w:rsidR="00B65C0D" w:rsidRDefault="00B65C0D" w:rsidP="007F3B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3BE53" w14:textId="77777777" w:rsidR="00B65C0D" w:rsidRDefault="00B65C0D" w:rsidP="007F3BDC">
      <w:pPr>
        <w:spacing w:after="0" w:line="240" w:lineRule="auto"/>
      </w:pPr>
      <w:r>
        <w:separator/>
      </w:r>
    </w:p>
  </w:footnote>
  <w:footnote w:type="continuationSeparator" w:id="0">
    <w:p w14:paraId="2642124E" w14:textId="77777777" w:rsidR="00B65C0D" w:rsidRDefault="00B65C0D" w:rsidP="007F3BDC">
      <w:pPr>
        <w:spacing w:after="0" w:line="240" w:lineRule="auto"/>
      </w:pPr>
      <w:r>
        <w:continuationSeparator/>
      </w:r>
    </w:p>
  </w:footnote>
  <w:footnote w:id="1">
    <w:p w14:paraId="432D5514" w14:textId="5CAC410D" w:rsidR="00201B46" w:rsidRPr="00B73466" w:rsidRDefault="00201B46" w:rsidP="00B73466">
      <w:pPr>
        <w:pStyle w:val="FootnoteText"/>
        <w:jc w:val="both"/>
        <w:rPr>
          <w:i/>
          <w:iCs/>
        </w:rPr>
      </w:pPr>
      <w:r>
        <w:rPr>
          <w:rStyle w:val="FootnoteReference"/>
        </w:rPr>
        <w:footnoteRef/>
      </w:r>
      <w:r>
        <w:t xml:space="preserve"> </w:t>
      </w:r>
      <w:r w:rsidR="00B73466" w:rsidRPr="00B73466">
        <w:rPr>
          <w:i/>
          <w:iCs/>
        </w:rPr>
        <w:t>D</w:t>
      </w:r>
      <w:r w:rsidR="00B73466">
        <w:rPr>
          <w:i/>
          <w:iCs/>
        </w:rPr>
        <w:t>.</w:t>
      </w:r>
      <w:r w:rsidR="00B73466" w:rsidRPr="00B73466">
        <w:rPr>
          <w:i/>
          <w:iCs/>
        </w:rPr>
        <w:t>C</w:t>
      </w:r>
      <w:r w:rsidR="00B73466">
        <w:rPr>
          <w:i/>
          <w:iCs/>
        </w:rPr>
        <w:t>.</w:t>
      </w:r>
      <w:r w:rsidR="00B73466" w:rsidRPr="00B73466">
        <w:rPr>
          <w:i/>
          <w:iCs/>
        </w:rPr>
        <w:t xml:space="preserve"> Metropolitan Police Department v. D</w:t>
      </w:r>
      <w:r w:rsidR="00B73466">
        <w:rPr>
          <w:i/>
          <w:iCs/>
        </w:rPr>
        <w:t>.</w:t>
      </w:r>
      <w:r w:rsidR="00B73466" w:rsidRPr="00B73466">
        <w:rPr>
          <w:i/>
          <w:iCs/>
        </w:rPr>
        <w:t>C</w:t>
      </w:r>
      <w:r w:rsidR="00B73466">
        <w:rPr>
          <w:i/>
          <w:iCs/>
        </w:rPr>
        <w:t>.</w:t>
      </w:r>
      <w:r w:rsidR="00B73466" w:rsidRPr="00B73466">
        <w:rPr>
          <w:i/>
          <w:iCs/>
        </w:rPr>
        <w:t xml:space="preserve"> Public Employee Relations Board</w:t>
      </w:r>
      <w:r w:rsidR="00B73466">
        <w:t xml:space="preserve">, </w:t>
      </w:r>
      <w:r w:rsidR="00B73466" w:rsidRPr="00B73466">
        <w:t>No. 2023</w:t>
      </w:r>
      <w:r w:rsidR="00B73466">
        <w:t xml:space="preserve"> </w:t>
      </w:r>
      <w:r w:rsidR="00B73466" w:rsidRPr="00B73466">
        <w:t>CAB</w:t>
      </w:r>
      <w:r w:rsidR="00B73466">
        <w:t xml:space="preserve"> </w:t>
      </w:r>
      <w:r w:rsidR="00B73466" w:rsidRPr="00B73466">
        <w:t>000300</w:t>
      </w:r>
      <w:r w:rsidR="00B73466">
        <w:t xml:space="preserve"> P(MPA),</w:t>
      </w:r>
      <w:r w:rsidR="00B73466" w:rsidRPr="00B73466">
        <w:rPr>
          <w:bCs/>
        </w:rPr>
        <w:t xml:space="preserve"> (D.C. Super. Ct. Sept. </w:t>
      </w:r>
      <w:r w:rsidR="00B73466">
        <w:rPr>
          <w:bCs/>
        </w:rPr>
        <w:t>5</w:t>
      </w:r>
      <w:r w:rsidR="00B73466" w:rsidRPr="00B73466">
        <w:rPr>
          <w:bCs/>
        </w:rPr>
        <w:t>, 2023).</w:t>
      </w:r>
    </w:p>
  </w:footnote>
  <w:footnote w:id="2">
    <w:p w14:paraId="03D0E0EA" w14:textId="08A54D69" w:rsidR="00664DFE" w:rsidRDefault="00664DFE" w:rsidP="006B2655">
      <w:pPr>
        <w:pStyle w:val="FootnoteText"/>
        <w:jc w:val="both"/>
      </w:pPr>
      <w:r>
        <w:rPr>
          <w:rStyle w:val="FootnoteReference"/>
        </w:rPr>
        <w:footnoteRef/>
      </w:r>
      <w:r>
        <w:t xml:space="preserve"> </w:t>
      </w:r>
      <w:r w:rsidRPr="00664DFE">
        <w:t>Award at 7. The Grievant was charged with the following offenses: (1) Burglary 2nd Degree; (2) Conspiracy to Commit Burglary 2nd Degree; (3) Three counts of Burglary 4th Degree; (4) Three counts of Conspiracy to Commit Burglary 4th Degree; (5) Theft; (6) Conspiracy to Commit Theft; (7) Malicious Destruction of Property; (8) Conspiracy to Commit Malicious Destruction of Property; (9) Trespassing; (10) Conspiracy to Trespass; (11) Firearm Use in Commission of a Felony; and (12) Handgun Wearing or Carrying Under the Influence of Alcohol.</w:t>
      </w:r>
    </w:p>
  </w:footnote>
  <w:footnote w:id="3">
    <w:p w14:paraId="62FDB962" w14:textId="5AD70B5D" w:rsidR="00512E47" w:rsidRDefault="00512E47">
      <w:pPr>
        <w:pStyle w:val="FootnoteText"/>
      </w:pPr>
      <w:r>
        <w:rPr>
          <w:rStyle w:val="FootnoteReference"/>
        </w:rPr>
        <w:footnoteRef/>
      </w:r>
      <w:r>
        <w:t xml:space="preserve"> Award at 8.</w:t>
      </w:r>
    </w:p>
  </w:footnote>
  <w:footnote w:id="4">
    <w:p w14:paraId="116ADD32" w14:textId="3B514B07" w:rsidR="00322E5D" w:rsidRDefault="00322E5D" w:rsidP="006B2655">
      <w:pPr>
        <w:pStyle w:val="FootnoteText"/>
        <w:jc w:val="both"/>
      </w:pPr>
      <w:r>
        <w:rPr>
          <w:rStyle w:val="FootnoteReference"/>
        </w:rPr>
        <w:footnoteRef/>
      </w:r>
      <w:r>
        <w:t xml:space="preserve"> </w:t>
      </w:r>
      <w:r w:rsidRPr="00322E5D">
        <w:t>Award at 9-11.</w:t>
      </w:r>
    </w:p>
  </w:footnote>
  <w:footnote w:id="5">
    <w:p w14:paraId="6EA620B8" w14:textId="67372D98" w:rsidR="00837D2C" w:rsidRDefault="00837D2C" w:rsidP="006B2655">
      <w:pPr>
        <w:pStyle w:val="FootnoteText"/>
        <w:jc w:val="both"/>
      </w:pPr>
      <w:r>
        <w:rPr>
          <w:rStyle w:val="FootnoteReference"/>
        </w:rPr>
        <w:footnoteRef/>
      </w:r>
      <w:r>
        <w:t xml:space="preserve"> </w:t>
      </w:r>
      <w:r w:rsidRPr="00837D2C">
        <w:t>Award at 15.</w:t>
      </w:r>
    </w:p>
  </w:footnote>
  <w:footnote w:id="6">
    <w:p w14:paraId="351DEA44" w14:textId="77777777" w:rsidR="00215FF6" w:rsidRDefault="00215FF6" w:rsidP="006B2655">
      <w:pPr>
        <w:pStyle w:val="FootnoteText"/>
        <w:jc w:val="both"/>
      </w:pPr>
      <w:r>
        <w:rPr>
          <w:rStyle w:val="FootnoteReference"/>
        </w:rPr>
        <w:footnoteRef/>
      </w:r>
      <w:r>
        <w:t xml:space="preserve"> Award at 15.</w:t>
      </w:r>
    </w:p>
  </w:footnote>
  <w:footnote w:id="7">
    <w:p w14:paraId="62333905" w14:textId="0FB9925B" w:rsidR="007E1510" w:rsidRDefault="007E1510" w:rsidP="006B2655">
      <w:pPr>
        <w:pStyle w:val="FootnoteText"/>
        <w:jc w:val="both"/>
      </w:pPr>
      <w:r>
        <w:rPr>
          <w:rStyle w:val="FootnoteReference"/>
        </w:rPr>
        <w:footnoteRef/>
      </w:r>
      <w:r>
        <w:t xml:space="preserve"> Award at 1</w:t>
      </w:r>
      <w:r w:rsidR="00EF6400">
        <w:t>8</w:t>
      </w:r>
      <w:r>
        <w:t>.</w:t>
      </w:r>
    </w:p>
  </w:footnote>
  <w:footnote w:id="8">
    <w:p w14:paraId="66A0C2A9" w14:textId="3FB7FB25" w:rsidR="00243DDB" w:rsidRDefault="00243DDB" w:rsidP="006B2655">
      <w:pPr>
        <w:pStyle w:val="FootnoteText"/>
        <w:jc w:val="both"/>
      </w:pPr>
      <w:r>
        <w:rPr>
          <w:rStyle w:val="FootnoteReference"/>
        </w:rPr>
        <w:footnoteRef/>
      </w:r>
      <w:r>
        <w:t xml:space="preserve"> </w:t>
      </w:r>
      <w:r w:rsidRPr="00243DDB">
        <w:t>D.C. Official Code § 5-1031(a-1)</w:t>
      </w:r>
      <w:r w:rsidR="00F072FE">
        <w:t xml:space="preserve"> </w:t>
      </w:r>
      <w:r w:rsidR="007F7BF4">
        <w:t>(repealed 2023)</w:t>
      </w:r>
      <w:r>
        <w:t>.</w:t>
      </w:r>
    </w:p>
  </w:footnote>
  <w:footnote w:id="9">
    <w:p w14:paraId="19C1842F" w14:textId="1231D8BC" w:rsidR="00F251F9" w:rsidRDefault="00F251F9" w:rsidP="006B2655">
      <w:pPr>
        <w:pStyle w:val="FootnoteText"/>
        <w:jc w:val="both"/>
      </w:pPr>
      <w:r>
        <w:rPr>
          <w:rStyle w:val="FootnoteReference"/>
        </w:rPr>
        <w:footnoteRef/>
      </w:r>
      <w:r>
        <w:t xml:space="preserve"> </w:t>
      </w:r>
      <w:r w:rsidRPr="000620B1">
        <w:t xml:space="preserve">D.C. </w:t>
      </w:r>
      <w:r w:rsidR="00F072FE">
        <w:t xml:space="preserve">Official </w:t>
      </w:r>
      <w:r w:rsidRPr="000620B1">
        <w:t>Code § 5-1031</w:t>
      </w:r>
      <w:r>
        <w:t>(b).</w:t>
      </w:r>
    </w:p>
  </w:footnote>
  <w:footnote w:id="10">
    <w:p w14:paraId="17F77F99" w14:textId="28A5B34D" w:rsidR="004F4AFC" w:rsidRDefault="004F4AFC">
      <w:pPr>
        <w:pStyle w:val="FootnoteText"/>
      </w:pPr>
      <w:r>
        <w:rPr>
          <w:rStyle w:val="FootnoteReference"/>
        </w:rPr>
        <w:footnoteRef/>
      </w:r>
      <w:r>
        <w:t xml:space="preserve"> Award at 3</w:t>
      </w:r>
      <w:r w:rsidR="00580B2F">
        <w:t>5</w:t>
      </w:r>
      <w:r>
        <w:t>.</w:t>
      </w:r>
    </w:p>
  </w:footnote>
  <w:footnote w:id="11">
    <w:p w14:paraId="77994756" w14:textId="5D306507" w:rsidR="00F251F9" w:rsidRDefault="00F251F9" w:rsidP="006B2655">
      <w:pPr>
        <w:pStyle w:val="FootnoteText"/>
        <w:jc w:val="both"/>
      </w:pPr>
      <w:r>
        <w:rPr>
          <w:rStyle w:val="FootnoteReference"/>
        </w:rPr>
        <w:footnoteRef/>
      </w:r>
      <w:r>
        <w:t xml:space="preserve"> Award at 3</w:t>
      </w:r>
      <w:r w:rsidR="001D717A">
        <w:t>5</w:t>
      </w:r>
      <w:r>
        <w:t>.</w:t>
      </w:r>
    </w:p>
  </w:footnote>
  <w:footnote w:id="12">
    <w:p w14:paraId="0CA8DCA8" w14:textId="24A0B1AF" w:rsidR="00EF26EE" w:rsidRDefault="00EF26EE" w:rsidP="006B2655">
      <w:pPr>
        <w:pStyle w:val="FootnoteText"/>
        <w:jc w:val="both"/>
      </w:pPr>
      <w:r>
        <w:rPr>
          <w:rStyle w:val="FootnoteReference"/>
        </w:rPr>
        <w:footnoteRef/>
      </w:r>
      <w:r>
        <w:t xml:space="preserve"> Award at </w:t>
      </w:r>
      <w:r w:rsidR="00DE6DA9">
        <w:t xml:space="preserve">34, </w:t>
      </w:r>
      <w:r>
        <w:t>43</w:t>
      </w:r>
      <w:r w:rsidR="00262310">
        <w:t xml:space="preserve"> </w:t>
      </w:r>
      <w:r w:rsidR="008D49BC">
        <w:t>(</w:t>
      </w:r>
      <w:r w:rsidR="005A078B" w:rsidRPr="005A078B">
        <w:t>The Arbitrator found that MPD complied with the statutory 90-day timeline for Charge 1, Specification No. 4 (carrying a handgun while intoxicated and driving a vehicle while impaired by alcohol), and Charge 2, Specification No. 1 (making an untruthful statement to MPD Internal Affairs Division).  Award at 35-36.  The Arbitrator sustained both timely charges against the Grievant</w:t>
      </w:r>
      <w:r w:rsidR="008B6DD8">
        <w:t xml:space="preserve"> </w:t>
      </w:r>
      <w:r w:rsidR="005A078B" w:rsidRPr="005A078B">
        <w:t>and ordered the Grievant’s 45-calendar day suspension as a mitigated penalty for the two sustained charges.  Award at 39-40, 42, 43</w:t>
      </w:r>
      <w:r w:rsidR="008D49BC">
        <w:t>)</w:t>
      </w:r>
      <w:r w:rsidR="00A07322">
        <w:t>).</w:t>
      </w:r>
    </w:p>
  </w:footnote>
  <w:footnote w:id="13">
    <w:p w14:paraId="3D892D5D" w14:textId="7D2745BA" w:rsidR="00CE2DF9" w:rsidRDefault="00CE2DF9" w:rsidP="006B2655">
      <w:pPr>
        <w:pStyle w:val="FootnoteText"/>
        <w:jc w:val="both"/>
      </w:pPr>
      <w:r>
        <w:rPr>
          <w:rStyle w:val="FootnoteReference"/>
        </w:rPr>
        <w:footnoteRef/>
      </w:r>
      <w:r>
        <w:t xml:space="preserve"> </w:t>
      </w:r>
      <w:r w:rsidRPr="001364DC">
        <w:rPr>
          <w:bCs/>
          <w:i/>
          <w:iCs/>
        </w:rPr>
        <w:t>MPD v. FOP/MPD Labor Comm.</w:t>
      </w:r>
      <w:r>
        <w:rPr>
          <w:bCs/>
          <w:i/>
          <w:iCs/>
        </w:rPr>
        <w:t xml:space="preserve"> (Baccus)</w:t>
      </w:r>
      <w:r w:rsidRPr="001364DC">
        <w:rPr>
          <w:bCs/>
        </w:rPr>
        <w:t xml:space="preserve">, </w:t>
      </w:r>
      <w:r w:rsidRPr="00CE2DF9">
        <w:rPr>
          <w:bCs/>
        </w:rPr>
        <w:t>70 D.C. Reg. 132, Slip Op. No. 1826, PERB Case No. 22-A-09 (2022)</w:t>
      </w:r>
      <w:r w:rsidRPr="001364DC">
        <w:rPr>
          <w:bCs/>
        </w:rPr>
        <w:t>.</w:t>
      </w:r>
    </w:p>
  </w:footnote>
  <w:footnote w:id="14">
    <w:p w14:paraId="529E2A57" w14:textId="283E30C0" w:rsidR="00CE2DF9" w:rsidRPr="00592BF9" w:rsidRDefault="00CE2DF9" w:rsidP="006B2655">
      <w:pPr>
        <w:pStyle w:val="FootnoteText"/>
        <w:jc w:val="both"/>
      </w:pPr>
      <w:r>
        <w:rPr>
          <w:rStyle w:val="FootnoteReference"/>
        </w:rPr>
        <w:footnoteRef/>
      </w:r>
      <w:r>
        <w:t xml:space="preserve"> </w:t>
      </w:r>
      <w:r w:rsidR="00F43032" w:rsidRPr="00742A5D">
        <w:rPr>
          <w:bCs/>
          <w:i/>
          <w:iCs/>
        </w:rPr>
        <w:t>Id</w:t>
      </w:r>
      <w:r>
        <w:rPr>
          <w:bCs/>
          <w:i/>
          <w:iCs/>
        </w:rPr>
        <w:t>.</w:t>
      </w:r>
    </w:p>
  </w:footnote>
  <w:footnote w:id="15">
    <w:p w14:paraId="6837DE3D" w14:textId="77777777" w:rsidR="00F055E5" w:rsidRDefault="00F055E5" w:rsidP="006B2655">
      <w:pPr>
        <w:pStyle w:val="FootnoteText"/>
        <w:jc w:val="both"/>
      </w:pPr>
      <w:r>
        <w:rPr>
          <w:rStyle w:val="FootnoteReference"/>
        </w:rPr>
        <w:footnoteRef/>
      </w:r>
      <w:r>
        <w:t xml:space="preserve"> </w:t>
      </w:r>
      <w:r w:rsidRPr="00D96D5D">
        <w:rPr>
          <w:bCs/>
        </w:rPr>
        <w:t>D.C. Law 24-345, 70 D.C. Reg. 953 (2023)</w:t>
      </w:r>
      <w:r>
        <w:rPr>
          <w:bCs/>
        </w:rPr>
        <w:t>.</w:t>
      </w:r>
    </w:p>
  </w:footnote>
  <w:footnote w:id="16">
    <w:p w14:paraId="4255BCCD" w14:textId="285546C1" w:rsidR="00F055E5" w:rsidRPr="00266BE1" w:rsidRDefault="00F055E5" w:rsidP="006B2655">
      <w:pPr>
        <w:pStyle w:val="FootnoteText"/>
        <w:jc w:val="both"/>
      </w:pPr>
      <w:r>
        <w:rPr>
          <w:rStyle w:val="FootnoteReference"/>
        </w:rPr>
        <w:footnoteRef/>
      </w:r>
      <w:r>
        <w:t xml:space="preserve"> </w:t>
      </w:r>
      <w:r w:rsidRPr="00E864B8">
        <w:rPr>
          <w:bCs/>
        </w:rPr>
        <w:t>D.C. Law 24-345</w:t>
      </w:r>
      <w:r w:rsidRPr="00266BE1">
        <w:rPr>
          <w:bCs/>
        </w:rPr>
        <w:t>.</w:t>
      </w:r>
    </w:p>
  </w:footnote>
  <w:footnote w:id="17">
    <w:p w14:paraId="6E38DADD" w14:textId="154FC554" w:rsidR="00F055E5" w:rsidRDefault="00F055E5" w:rsidP="006B2655">
      <w:pPr>
        <w:pStyle w:val="FootnoteText"/>
        <w:jc w:val="both"/>
      </w:pPr>
      <w:r>
        <w:rPr>
          <w:rStyle w:val="FootnoteReference"/>
        </w:rPr>
        <w:footnoteRef/>
      </w:r>
      <w:r>
        <w:t xml:space="preserve"> </w:t>
      </w:r>
      <w:r w:rsidRPr="001230F2">
        <w:rPr>
          <w:bCs/>
        </w:rPr>
        <w:t>Reform Act §§ 117(a), 301(b)</w:t>
      </w:r>
      <w:r>
        <w:rPr>
          <w:bCs/>
        </w:rPr>
        <w:t>.</w:t>
      </w:r>
    </w:p>
  </w:footnote>
  <w:footnote w:id="18">
    <w:p w14:paraId="6167585A" w14:textId="3A64634F" w:rsidR="00441FF1" w:rsidRDefault="00441FF1" w:rsidP="006B2655">
      <w:pPr>
        <w:pStyle w:val="FootnoteText"/>
        <w:jc w:val="both"/>
      </w:pPr>
      <w:r>
        <w:rPr>
          <w:rStyle w:val="FootnoteReference"/>
        </w:rPr>
        <w:footnoteRef/>
      </w:r>
      <w:r>
        <w:t xml:space="preserve"> </w:t>
      </w:r>
      <w:r w:rsidR="001563AD" w:rsidRPr="001563AD">
        <w:rPr>
          <w:bCs/>
          <w:i/>
          <w:iCs/>
        </w:rPr>
        <w:t>Dist. of Columbia Metro. Police Dep't.</w:t>
      </w:r>
      <w:r w:rsidR="001563AD" w:rsidRPr="001563AD">
        <w:rPr>
          <w:bCs/>
        </w:rPr>
        <w:t>,</w:t>
      </w:r>
      <w:r w:rsidR="001563AD">
        <w:rPr>
          <w:bCs/>
        </w:rPr>
        <w:t xml:space="preserve"> </w:t>
      </w:r>
      <w:r w:rsidR="001563AD" w:rsidRPr="001563AD">
        <w:rPr>
          <w:bCs/>
        </w:rPr>
        <w:t>No. 2023 CAB 000300 P(MPA), (D.C. Super. Ct. Sept. 5, 2023).</w:t>
      </w:r>
    </w:p>
  </w:footnote>
  <w:footnote w:id="19">
    <w:p w14:paraId="5E79AA61" w14:textId="77777777" w:rsidR="007F3BDC" w:rsidRDefault="007F3BDC" w:rsidP="006B2655">
      <w:pPr>
        <w:pStyle w:val="FootnoteText"/>
        <w:jc w:val="both"/>
      </w:pPr>
      <w:r>
        <w:rPr>
          <w:rStyle w:val="FootnoteReference"/>
        </w:rPr>
        <w:footnoteRef/>
      </w:r>
      <w:r>
        <w:t xml:space="preserve"> </w:t>
      </w:r>
      <w:r w:rsidRPr="00807630">
        <w:t>D.C. Official Code § 1-605.02(6).</w:t>
      </w:r>
    </w:p>
  </w:footnote>
  <w:footnote w:id="20">
    <w:p w14:paraId="7C8A413F" w14:textId="4005CEE4" w:rsidR="007F3BDC" w:rsidRDefault="007F3BDC" w:rsidP="006B2655">
      <w:pPr>
        <w:pStyle w:val="FootnoteText"/>
        <w:jc w:val="both"/>
      </w:pPr>
      <w:r>
        <w:rPr>
          <w:rStyle w:val="FootnoteReference"/>
        </w:rPr>
        <w:footnoteRef/>
      </w:r>
      <w:r>
        <w:t xml:space="preserve"> </w:t>
      </w:r>
      <w:r w:rsidR="001563AD" w:rsidRPr="001563AD">
        <w:rPr>
          <w:bCs/>
        </w:rPr>
        <w:t>Slip Op. No. 1826</w:t>
      </w:r>
      <w:r w:rsidR="001563AD">
        <w:rPr>
          <w:bCs/>
        </w:rPr>
        <w:t xml:space="preserve"> at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4139905"/>
      <w:docPartObj>
        <w:docPartGallery w:val="Page Numbers (Top of Page)"/>
        <w:docPartUnique/>
      </w:docPartObj>
    </w:sdtPr>
    <w:sdtEndPr/>
    <w:sdtContent>
      <w:p w14:paraId="5F94FD6A" w14:textId="77777777" w:rsidR="006E6E28" w:rsidRPr="006E6E28" w:rsidRDefault="006E6E28" w:rsidP="006E6E28">
        <w:pPr>
          <w:pStyle w:val="Header"/>
        </w:pPr>
        <w:r w:rsidRPr="006E6E28">
          <w:t>Decision and Order on Remand</w:t>
        </w:r>
      </w:p>
      <w:p w14:paraId="71CAAF9C" w14:textId="36EFA417" w:rsidR="006E6E28" w:rsidRPr="006E6E28" w:rsidRDefault="006E6E28" w:rsidP="006E6E28">
        <w:pPr>
          <w:pStyle w:val="Header"/>
        </w:pPr>
        <w:r w:rsidRPr="006E6E28">
          <w:t xml:space="preserve">PERB Case </w:t>
        </w:r>
        <w:r>
          <w:t>22-A-09</w:t>
        </w:r>
        <w:r w:rsidRPr="006E6E28">
          <w:t>(R)</w:t>
        </w:r>
      </w:p>
      <w:p w14:paraId="07BFE74A" w14:textId="77777777" w:rsidR="006E6E28" w:rsidRPr="006E6E28" w:rsidRDefault="006E6E28" w:rsidP="006E6E28">
        <w:pPr>
          <w:pStyle w:val="Header"/>
        </w:pPr>
        <w:r w:rsidRPr="006E6E28">
          <w:t xml:space="preserve">Page </w:t>
        </w:r>
        <w:r w:rsidRPr="006E6E28">
          <w:fldChar w:fldCharType="begin"/>
        </w:r>
        <w:r w:rsidRPr="006E6E28">
          <w:instrText xml:space="preserve"> PAGE   \* MERGEFORMAT </w:instrText>
        </w:r>
        <w:r w:rsidRPr="006E6E28">
          <w:fldChar w:fldCharType="separate"/>
        </w:r>
        <w:r w:rsidRPr="006E6E28">
          <w:t>4</w:t>
        </w:r>
        <w:r w:rsidRPr="006E6E28">
          <w:fldChar w:fldCharType="end"/>
        </w:r>
      </w:p>
    </w:sdtContent>
  </w:sdt>
  <w:p w14:paraId="38C1CAE3" w14:textId="77777777" w:rsidR="006E6E28" w:rsidRDefault="006E6E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06E6C"/>
    <w:multiLevelType w:val="hybridMultilevel"/>
    <w:tmpl w:val="C618FC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1951899"/>
    <w:multiLevelType w:val="multilevel"/>
    <w:tmpl w:val="D13A5904"/>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 w15:restartNumberingAfterBreak="0">
    <w:nsid w:val="3A96501E"/>
    <w:multiLevelType w:val="multilevel"/>
    <w:tmpl w:val="38D01164"/>
    <w:styleLink w:val="Style1"/>
    <w:lvl w:ilvl="0">
      <w:start w:val="1"/>
      <w:numFmt w:val="upperRoman"/>
      <w:lvlText w:val="%1."/>
      <w:lvlJc w:val="left"/>
      <w:pPr>
        <w:ind w:left="0" w:firstLine="0"/>
      </w:pPr>
      <w:rPr>
        <w:rFonts w:ascii="Times New Roman" w:hAnsi="Times New Roman" w:cs="Times New Roman" w:hint="default"/>
        <w:sz w:val="28"/>
        <w:szCs w:val="28"/>
      </w:r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 w15:restartNumberingAfterBreak="0">
    <w:nsid w:val="402E58A0"/>
    <w:multiLevelType w:val="hybridMultilevel"/>
    <w:tmpl w:val="3D8A4CD8"/>
    <w:lvl w:ilvl="0" w:tplc="BD282D98">
      <w:start w:val="1"/>
      <w:numFmt w:val="upperRoman"/>
      <w:lvlText w:val="%1."/>
      <w:lvlJc w:val="left"/>
      <w:pPr>
        <w:ind w:left="1080" w:hanging="720"/>
      </w:pPr>
      <w:rPr>
        <w:rFonts w:hint="default"/>
        <w:b/>
        <w:bCs/>
      </w:rPr>
    </w:lvl>
    <w:lvl w:ilvl="1" w:tplc="5EA0B770">
      <w:start w:val="1"/>
      <w:numFmt w:val="upperLetter"/>
      <w:lvlText w:val="%2."/>
      <w:lvlJc w:val="left"/>
      <w:pPr>
        <w:ind w:left="1440" w:hanging="360"/>
      </w:pPr>
      <w:rPr>
        <w:rFonts w:hint="default"/>
        <w:b/>
        <w:bCs w:val="0"/>
      </w:rPr>
    </w:lvl>
    <w:lvl w:ilvl="2" w:tplc="0409001B">
      <w:start w:val="1"/>
      <w:numFmt w:val="lowerRoman"/>
      <w:lvlText w:val="%3."/>
      <w:lvlJc w:val="right"/>
      <w:pPr>
        <w:ind w:left="2340" w:hanging="360"/>
      </w:pPr>
    </w:lvl>
    <w:lvl w:ilvl="3" w:tplc="90AEF188">
      <w:start w:val="1"/>
      <w:numFmt w:val="decimal"/>
      <w:lvlText w:val="%4."/>
      <w:lvlJc w:val="left"/>
      <w:pPr>
        <w:ind w:left="207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E71353F"/>
    <w:multiLevelType w:val="multilevel"/>
    <w:tmpl w:val="CD0AB880"/>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116217189">
    <w:abstractNumId w:val="2"/>
  </w:num>
  <w:num w:numId="2" w16cid:durableId="1246112162">
    <w:abstractNumId w:val="1"/>
  </w:num>
  <w:num w:numId="3" w16cid:durableId="1132795035">
    <w:abstractNumId w:val="4"/>
  </w:num>
  <w:num w:numId="4" w16cid:durableId="1753962798">
    <w:abstractNumId w:val="3"/>
  </w:num>
  <w:num w:numId="5" w16cid:durableId="258098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E9D"/>
    <w:rsid w:val="000223C7"/>
    <w:rsid w:val="0010540D"/>
    <w:rsid w:val="0012322A"/>
    <w:rsid w:val="00124E9D"/>
    <w:rsid w:val="00134374"/>
    <w:rsid w:val="001563AD"/>
    <w:rsid w:val="001D4BBA"/>
    <w:rsid w:val="001D717A"/>
    <w:rsid w:val="00201B46"/>
    <w:rsid w:val="00215FF6"/>
    <w:rsid w:val="00243DDB"/>
    <w:rsid w:val="00262310"/>
    <w:rsid w:val="002A57C8"/>
    <w:rsid w:val="002E4A83"/>
    <w:rsid w:val="00322E5D"/>
    <w:rsid w:val="003B0B4E"/>
    <w:rsid w:val="003E5CBA"/>
    <w:rsid w:val="003F4ECB"/>
    <w:rsid w:val="00441FF1"/>
    <w:rsid w:val="00486587"/>
    <w:rsid w:val="004A03D9"/>
    <w:rsid w:val="004A0436"/>
    <w:rsid w:val="004A218C"/>
    <w:rsid w:val="004F4AFC"/>
    <w:rsid w:val="00500129"/>
    <w:rsid w:val="00512E47"/>
    <w:rsid w:val="0054653D"/>
    <w:rsid w:val="0055559B"/>
    <w:rsid w:val="005555FC"/>
    <w:rsid w:val="00580B2F"/>
    <w:rsid w:val="005A078B"/>
    <w:rsid w:val="005A6AD8"/>
    <w:rsid w:val="00664DFE"/>
    <w:rsid w:val="006A010F"/>
    <w:rsid w:val="006B2655"/>
    <w:rsid w:val="006E0ABD"/>
    <w:rsid w:val="006E6E28"/>
    <w:rsid w:val="00742A5D"/>
    <w:rsid w:val="007451F1"/>
    <w:rsid w:val="007B141F"/>
    <w:rsid w:val="007B4AD3"/>
    <w:rsid w:val="007E1510"/>
    <w:rsid w:val="007E5EC5"/>
    <w:rsid w:val="007F3BDC"/>
    <w:rsid w:val="007F7BF4"/>
    <w:rsid w:val="00837D2C"/>
    <w:rsid w:val="0089032E"/>
    <w:rsid w:val="00890D93"/>
    <w:rsid w:val="008A2FCA"/>
    <w:rsid w:val="008B67DA"/>
    <w:rsid w:val="008B6DD8"/>
    <w:rsid w:val="008D49BC"/>
    <w:rsid w:val="008D66CB"/>
    <w:rsid w:val="00912E31"/>
    <w:rsid w:val="00913285"/>
    <w:rsid w:val="00985E12"/>
    <w:rsid w:val="00A00CDB"/>
    <w:rsid w:val="00A07322"/>
    <w:rsid w:val="00A24731"/>
    <w:rsid w:val="00A40DB5"/>
    <w:rsid w:val="00AF4E97"/>
    <w:rsid w:val="00B01534"/>
    <w:rsid w:val="00B048B1"/>
    <w:rsid w:val="00B152C8"/>
    <w:rsid w:val="00B65C0D"/>
    <w:rsid w:val="00B73466"/>
    <w:rsid w:val="00B9395A"/>
    <w:rsid w:val="00BC4245"/>
    <w:rsid w:val="00C7521E"/>
    <w:rsid w:val="00CA78F7"/>
    <w:rsid w:val="00CB70FC"/>
    <w:rsid w:val="00CE2DF9"/>
    <w:rsid w:val="00D422B2"/>
    <w:rsid w:val="00D56962"/>
    <w:rsid w:val="00D85103"/>
    <w:rsid w:val="00DD491B"/>
    <w:rsid w:val="00DE6DA9"/>
    <w:rsid w:val="00E2460D"/>
    <w:rsid w:val="00E71CC0"/>
    <w:rsid w:val="00EE4508"/>
    <w:rsid w:val="00EF26EE"/>
    <w:rsid w:val="00EF6400"/>
    <w:rsid w:val="00F055E5"/>
    <w:rsid w:val="00F072FE"/>
    <w:rsid w:val="00F251F9"/>
    <w:rsid w:val="00F43032"/>
    <w:rsid w:val="00F505D0"/>
    <w:rsid w:val="00F74C9B"/>
    <w:rsid w:val="00FF13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71476"/>
  <w15:chartTrackingRefBased/>
  <w15:docId w15:val="{93B7242E-CAF4-4602-96ED-E5DC3B217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4E97"/>
    <w:pPr>
      <w:keepNext/>
      <w:keepLines/>
      <w:numPr>
        <w:numId w:val="3"/>
      </w:numPr>
      <w:spacing w:before="240" w:after="0" w:line="276" w:lineRule="auto"/>
      <w:outlineLvl w:val="0"/>
    </w:pPr>
    <w:rPr>
      <w:rFonts w:eastAsiaTheme="majorEastAsia" w:cstheme="majorBidi"/>
      <w:sz w:val="28"/>
      <w:szCs w:val="32"/>
    </w:rPr>
  </w:style>
  <w:style w:type="paragraph" w:styleId="Heading2">
    <w:name w:val="heading 2"/>
    <w:basedOn w:val="Normal"/>
    <w:next w:val="Normal"/>
    <w:link w:val="Heading2Char"/>
    <w:uiPriority w:val="9"/>
    <w:unhideWhenUsed/>
    <w:qFormat/>
    <w:rsid w:val="00837D2C"/>
    <w:pPr>
      <w:keepNext/>
      <w:ind w:firstLine="720"/>
      <w:jc w:val="both"/>
      <w:outlineLvl w:val="1"/>
    </w:pPr>
    <w:rPr>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yle1">
    <w:name w:val="Style1"/>
    <w:uiPriority w:val="99"/>
    <w:rsid w:val="00CB70FC"/>
    <w:pPr>
      <w:numPr>
        <w:numId w:val="1"/>
      </w:numPr>
    </w:pPr>
  </w:style>
  <w:style w:type="character" w:customStyle="1" w:styleId="Heading1Char">
    <w:name w:val="Heading 1 Char"/>
    <w:basedOn w:val="DefaultParagraphFont"/>
    <w:link w:val="Heading1"/>
    <w:uiPriority w:val="9"/>
    <w:rsid w:val="00AF4E97"/>
    <w:rPr>
      <w:rFonts w:eastAsiaTheme="majorEastAsia" w:cstheme="majorBidi"/>
      <w:sz w:val="28"/>
      <w:szCs w:val="32"/>
    </w:rPr>
  </w:style>
  <w:style w:type="paragraph" w:styleId="FootnoteText">
    <w:name w:val="footnote text"/>
    <w:basedOn w:val="Normal"/>
    <w:link w:val="FootnoteTextChar"/>
    <w:uiPriority w:val="99"/>
    <w:unhideWhenUsed/>
    <w:rsid w:val="007F3BDC"/>
    <w:pPr>
      <w:spacing w:after="0" w:line="240" w:lineRule="auto"/>
    </w:pPr>
    <w:rPr>
      <w:sz w:val="20"/>
      <w:szCs w:val="20"/>
    </w:rPr>
  </w:style>
  <w:style w:type="character" w:customStyle="1" w:styleId="FootnoteTextChar">
    <w:name w:val="Footnote Text Char"/>
    <w:basedOn w:val="DefaultParagraphFont"/>
    <w:link w:val="FootnoteText"/>
    <w:uiPriority w:val="99"/>
    <w:rsid w:val="007F3BDC"/>
    <w:rPr>
      <w:sz w:val="20"/>
      <w:szCs w:val="20"/>
    </w:rPr>
  </w:style>
  <w:style w:type="character" w:styleId="FootnoteReference">
    <w:name w:val="footnote reference"/>
    <w:basedOn w:val="DefaultParagraphFont"/>
    <w:uiPriority w:val="99"/>
    <w:semiHidden/>
    <w:unhideWhenUsed/>
    <w:rsid w:val="007F3BDC"/>
    <w:rPr>
      <w:vertAlign w:val="superscript"/>
    </w:rPr>
  </w:style>
  <w:style w:type="paragraph" w:styleId="Header">
    <w:name w:val="header"/>
    <w:basedOn w:val="Normal"/>
    <w:link w:val="HeaderChar"/>
    <w:uiPriority w:val="99"/>
    <w:unhideWhenUsed/>
    <w:rsid w:val="006E6E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E28"/>
  </w:style>
  <w:style w:type="paragraph" w:styleId="Footer">
    <w:name w:val="footer"/>
    <w:basedOn w:val="Normal"/>
    <w:link w:val="FooterChar"/>
    <w:uiPriority w:val="99"/>
    <w:unhideWhenUsed/>
    <w:rsid w:val="006E6E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E28"/>
  </w:style>
  <w:style w:type="paragraph" w:styleId="Revision">
    <w:name w:val="Revision"/>
    <w:hidden/>
    <w:uiPriority w:val="99"/>
    <w:semiHidden/>
    <w:rsid w:val="0054653D"/>
    <w:pPr>
      <w:spacing w:after="0" w:line="240" w:lineRule="auto"/>
    </w:pPr>
  </w:style>
  <w:style w:type="paragraph" w:styleId="BodyTextIndent">
    <w:name w:val="Body Text Indent"/>
    <w:basedOn w:val="Normal"/>
    <w:link w:val="BodyTextIndentChar"/>
    <w:uiPriority w:val="99"/>
    <w:unhideWhenUsed/>
    <w:rsid w:val="00201B46"/>
    <w:pPr>
      <w:spacing w:before="240" w:after="0"/>
      <w:ind w:firstLine="720"/>
      <w:jc w:val="both"/>
    </w:pPr>
    <w:rPr>
      <w:rFonts w:eastAsia="Calibri"/>
      <w:bCs/>
      <w:kern w:val="0"/>
      <w14:ligatures w14:val="none"/>
    </w:rPr>
  </w:style>
  <w:style w:type="character" w:customStyle="1" w:styleId="BodyTextIndentChar">
    <w:name w:val="Body Text Indent Char"/>
    <w:basedOn w:val="DefaultParagraphFont"/>
    <w:link w:val="BodyTextIndent"/>
    <w:uiPriority w:val="99"/>
    <w:rsid w:val="00201B46"/>
    <w:rPr>
      <w:rFonts w:eastAsia="Calibri"/>
      <w:bCs/>
      <w:kern w:val="0"/>
      <w14:ligatures w14:val="none"/>
    </w:rPr>
  </w:style>
  <w:style w:type="character" w:customStyle="1" w:styleId="Heading2Char">
    <w:name w:val="Heading 2 Char"/>
    <w:basedOn w:val="DefaultParagraphFont"/>
    <w:link w:val="Heading2"/>
    <w:uiPriority w:val="9"/>
    <w:rsid w:val="00837D2C"/>
    <w:rPr>
      <w:bCs/>
    </w:rPr>
  </w:style>
  <w:style w:type="character" w:styleId="CommentReference">
    <w:name w:val="annotation reference"/>
    <w:basedOn w:val="DefaultParagraphFont"/>
    <w:uiPriority w:val="99"/>
    <w:semiHidden/>
    <w:unhideWhenUsed/>
    <w:rsid w:val="00B01534"/>
    <w:rPr>
      <w:sz w:val="16"/>
      <w:szCs w:val="16"/>
    </w:rPr>
  </w:style>
  <w:style w:type="paragraph" w:styleId="CommentText">
    <w:name w:val="annotation text"/>
    <w:basedOn w:val="Normal"/>
    <w:link w:val="CommentTextChar"/>
    <w:uiPriority w:val="99"/>
    <w:unhideWhenUsed/>
    <w:rsid w:val="00B01534"/>
    <w:pPr>
      <w:spacing w:line="240" w:lineRule="auto"/>
    </w:pPr>
    <w:rPr>
      <w:sz w:val="20"/>
      <w:szCs w:val="20"/>
    </w:rPr>
  </w:style>
  <w:style w:type="character" w:customStyle="1" w:styleId="CommentTextChar">
    <w:name w:val="Comment Text Char"/>
    <w:basedOn w:val="DefaultParagraphFont"/>
    <w:link w:val="CommentText"/>
    <w:uiPriority w:val="99"/>
    <w:rsid w:val="00B01534"/>
    <w:rPr>
      <w:sz w:val="20"/>
      <w:szCs w:val="20"/>
    </w:rPr>
  </w:style>
  <w:style w:type="paragraph" w:styleId="CommentSubject">
    <w:name w:val="annotation subject"/>
    <w:basedOn w:val="CommentText"/>
    <w:next w:val="CommentText"/>
    <w:link w:val="CommentSubjectChar"/>
    <w:uiPriority w:val="99"/>
    <w:semiHidden/>
    <w:unhideWhenUsed/>
    <w:rsid w:val="00B01534"/>
    <w:rPr>
      <w:b/>
      <w:bCs/>
    </w:rPr>
  </w:style>
  <w:style w:type="character" w:customStyle="1" w:styleId="CommentSubjectChar">
    <w:name w:val="Comment Subject Char"/>
    <w:basedOn w:val="CommentTextChar"/>
    <w:link w:val="CommentSubject"/>
    <w:uiPriority w:val="99"/>
    <w:semiHidden/>
    <w:rsid w:val="00B01534"/>
    <w:rPr>
      <w:b/>
      <w:bCs/>
      <w:sz w:val="20"/>
      <w:szCs w:val="20"/>
    </w:rPr>
  </w:style>
  <w:style w:type="paragraph" w:styleId="BodyText">
    <w:name w:val="Body Text"/>
    <w:basedOn w:val="Normal"/>
    <w:link w:val="BodyTextChar"/>
    <w:uiPriority w:val="99"/>
    <w:semiHidden/>
    <w:unhideWhenUsed/>
    <w:rsid w:val="00E2460D"/>
    <w:pPr>
      <w:spacing w:after="120"/>
    </w:pPr>
  </w:style>
  <w:style w:type="character" w:customStyle="1" w:styleId="BodyTextChar">
    <w:name w:val="Body Text Char"/>
    <w:basedOn w:val="DefaultParagraphFont"/>
    <w:link w:val="BodyText"/>
    <w:uiPriority w:val="99"/>
    <w:semiHidden/>
    <w:rsid w:val="00E246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f01e5f0-e043-49e4-b714-2ad305e849d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EF5CDFF1FD5D9498FAA1722714441FA" ma:contentTypeVersion="7" ma:contentTypeDescription="Create a new document." ma:contentTypeScope="" ma:versionID="ad45f9de2e953bb7e46eb9713954287c">
  <xsd:schema xmlns:xsd="http://www.w3.org/2001/XMLSchema" xmlns:xs="http://www.w3.org/2001/XMLSchema" xmlns:p="http://schemas.microsoft.com/office/2006/metadata/properties" xmlns:ns3="ef01e5f0-e043-49e4-b714-2ad305e849d6" xmlns:ns4="b6c2ef06-9bd2-475a-ab5a-f2a58683330c" targetNamespace="http://schemas.microsoft.com/office/2006/metadata/properties" ma:root="true" ma:fieldsID="ea79c59a2a77fb6dca75ec61f8caba62" ns3:_="" ns4:_="">
    <xsd:import namespace="ef01e5f0-e043-49e4-b714-2ad305e849d6"/>
    <xsd:import namespace="b6c2ef06-9bd2-475a-ab5a-f2a58683330c"/>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01e5f0-e043-49e4-b714-2ad305e849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c2ef06-9bd2-475a-ab5a-f2a58683330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E3EC1B-B656-49DF-B2FE-62FED41A2B17}">
  <ds:schemaRefs>
    <ds:schemaRef ds:uri="http://schemas.microsoft.com/sharepoint/v3/contenttype/forms"/>
  </ds:schemaRefs>
</ds:datastoreItem>
</file>

<file path=customXml/itemProps2.xml><?xml version="1.0" encoding="utf-8"?>
<ds:datastoreItem xmlns:ds="http://schemas.openxmlformats.org/officeDocument/2006/customXml" ds:itemID="{B66DD994-91D2-40C2-A3D2-7808EBA15D48}">
  <ds:schemaRefs>
    <ds:schemaRef ds:uri="http://www.w3.org/XML/1998/namespace"/>
    <ds:schemaRef ds:uri="http://purl.org/dc/term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b6c2ef06-9bd2-475a-ab5a-f2a58683330c"/>
    <ds:schemaRef ds:uri="ef01e5f0-e043-49e4-b714-2ad305e849d6"/>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B69CB01C-E863-4252-BAB6-48DDFAF9C144}">
  <ds:schemaRefs>
    <ds:schemaRef ds:uri="http://schemas.openxmlformats.org/officeDocument/2006/bibliography"/>
  </ds:schemaRefs>
</ds:datastoreItem>
</file>

<file path=customXml/itemProps4.xml><?xml version="1.0" encoding="utf-8"?>
<ds:datastoreItem xmlns:ds="http://schemas.openxmlformats.org/officeDocument/2006/customXml" ds:itemID="{C1DA9A05-6829-4CB6-A899-FD02854D7D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01e5f0-e043-49e4-b714-2ad305e849d6"/>
    <ds:schemaRef ds:uri="b6c2ef06-9bd2-475a-ab5a-f2a5868333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870</Words>
  <Characters>4962</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Solomon, Rita (PERB)</dc:creator>
  <cp:keywords/>
  <dc:description/>
  <cp:lastModifiedBy>Elam, Gertie (PERB)</cp:lastModifiedBy>
  <cp:revision>2</cp:revision>
  <dcterms:created xsi:type="dcterms:W3CDTF">2023-10-23T18:47:00Z</dcterms:created>
  <dcterms:modified xsi:type="dcterms:W3CDTF">2023-10-23T18:47:00Z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0x0101001EF5CDFF1FD5D9498FAA1722714441FA</vt:lpwstr>
  </property>
</Properties>
</file>