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73B147" w14:textId="77777777" w:rsidR="002C37D2" w:rsidRPr="003E75C5" w:rsidRDefault="002C37D2" w:rsidP="002C37D2">
      <w:pPr>
        <w:keepNext/>
        <w:keepLines/>
        <w:spacing w:before="40" w:after="0" w:line="240" w:lineRule="auto"/>
        <w:ind w:firstLine="0"/>
        <w:outlineLvl w:val="1"/>
        <w:rPr>
          <w:rFonts w:eastAsia="Times New Roman"/>
          <w:sz w:val="20"/>
        </w:rPr>
      </w:pPr>
      <w:bookmarkStart w:id="0" w:name="_GoBack"/>
      <w:bookmarkEnd w:id="0"/>
      <w:r w:rsidRPr="003E75C5">
        <w:rPr>
          <w:rFonts w:eastAsia="Times New Roman"/>
          <w:sz w:val="20"/>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2B64913D" w14:textId="77777777" w:rsidR="002C37D2" w:rsidRPr="003E75C5" w:rsidRDefault="002C37D2" w:rsidP="002C37D2">
      <w:pPr>
        <w:widowControl w:val="0"/>
        <w:spacing w:after="0" w:line="240" w:lineRule="auto"/>
        <w:ind w:firstLine="0"/>
        <w:jc w:val="center"/>
        <w:rPr>
          <w:rFonts w:eastAsia="Calibri"/>
          <w:b/>
          <w:bCs/>
          <w:sz w:val="22"/>
          <w:szCs w:val="22"/>
        </w:rPr>
      </w:pPr>
    </w:p>
    <w:p w14:paraId="4C249D97" w14:textId="77777777" w:rsidR="002C37D2" w:rsidRPr="003E75C5" w:rsidRDefault="002C37D2" w:rsidP="002C37D2">
      <w:pPr>
        <w:widowControl w:val="0"/>
        <w:spacing w:after="0" w:line="240" w:lineRule="auto"/>
        <w:ind w:firstLine="0"/>
        <w:jc w:val="center"/>
        <w:rPr>
          <w:rFonts w:eastAsia="Calibri"/>
          <w:b/>
          <w:bCs/>
          <w:szCs w:val="24"/>
        </w:rPr>
      </w:pPr>
      <w:r w:rsidRPr="003E75C5">
        <w:rPr>
          <w:rFonts w:eastAsia="Calibri"/>
          <w:b/>
          <w:bCs/>
          <w:szCs w:val="24"/>
        </w:rPr>
        <w:t xml:space="preserve">Government of the District of Columbia </w:t>
      </w:r>
    </w:p>
    <w:p w14:paraId="33BE7ED3" w14:textId="77777777" w:rsidR="002C37D2" w:rsidRPr="003E75C5" w:rsidRDefault="002C37D2" w:rsidP="002C37D2">
      <w:pPr>
        <w:widowControl w:val="0"/>
        <w:spacing w:after="0" w:line="240" w:lineRule="auto"/>
        <w:ind w:firstLine="0"/>
        <w:jc w:val="center"/>
        <w:rPr>
          <w:rFonts w:eastAsia="Calibri"/>
          <w:b/>
          <w:bCs/>
          <w:szCs w:val="24"/>
        </w:rPr>
      </w:pPr>
      <w:r w:rsidRPr="003E75C5">
        <w:rPr>
          <w:rFonts w:eastAsia="Calibri"/>
          <w:b/>
          <w:bCs/>
          <w:szCs w:val="24"/>
        </w:rPr>
        <w:t>Public Employee Relations Board</w:t>
      </w:r>
    </w:p>
    <w:p w14:paraId="2E143DBE" w14:textId="77777777" w:rsidR="002C37D2" w:rsidRPr="003E75C5" w:rsidRDefault="002C37D2" w:rsidP="002C37D2">
      <w:pPr>
        <w:widowControl w:val="0"/>
        <w:spacing w:after="0" w:line="240" w:lineRule="auto"/>
        <w:rPr>
          <w:rFonts w:eastAsia="Calibri"/>
          <w:b/>
          <w:bCs/>
          <w:szCs w:val="24"/>
        </w:rPr>
      </w:pPr>
    </w:p>
    <w:p w14:paraId="59917ABD"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_________________________________________</w:t>
      </w:r>
      <w:r w:rsidRPr="003E75C5">
        <w:rPr>
          <w:rFonts w:eastAsia="Calibri"/>
          <w:bCs/>
          <w:szCs w:val="24"/>
        </w:rPr>
        <w:tab/>
      </w:r>
    </w:p>
    <w:p w14:paraId="3D1E80E6"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5643C208"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In the Matter of:</w:t>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00779BE1"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7C742E6F" w14:textId="2AE5D934" w:rsidR="00B82534" w:rsidRPr="003E75C5" w:rsidRDefault="00B82534" w:rsidP="00B82534">
      <w:pPr>
        <w:widowControl w:val="0"/>
        <w:spacing w:after="0" w:line="240" w:lineRule="auto"/>
        <w:ind w:firstLine="0"/>
        <w:rPr>
          <w:rFonts w:eastAsia="Calibri"/>
          <w:bCs/>
          <w:szCs w:val="24"/>
        </w:rPr>
      </w:pPr>
      <w:r w:rsidRPr="003E75C5">
        <w:rPr>
          <w:rFonts w:eastAsia="Calibri"/>
          <w:bCs/>
          <w:szCs w:val="24"/>
        </w:rPr>
        <w:t>A</w:t>
      </w:r>
      <w:r w:rsidR="004C5953" w:rsidRPr="003E75C5">
        <w:rPr>
          <w:rFonts w:eastAsia="Calibri"/>
          <w:bCs/>
          <w:szCs w:val="24"/>
        </w:rPr>
        <w:t>merican Federation of Government Employees,</w:t>
      </w:r>
      <w:r w:rsidR="00A65069" w:rsidRPr="003E75C5">
        <w:rPr>
          <w:rFonts w:eastAsia="Calibri"/>
          <w:bCs/>
          <w:szCs w:val="24"/>
        </w:rPr>
        <w:tab/>
        <w:t>)</w:t>
      </w:r>
    </w:p>
    <w:p w14:paraId="5F457A03" w14:textId="543A9689" w:rsidR="002C37D2" w:rsidRPr="003E75C5" w:rsidRDefault="004C5953" w:rsidP="00C436AD">
      <w:pPr>
        <w:widowControl w:val="0"/>
        <w:spacing w:after="0" w:line="240" w:lineRule="auto"/>
        <w:rPr>
          <w:rFonts w:eastAsia="Calibri"/>
          <w:bCs/>
          <w:szCs w:val="24"/>
        </w:rPr>
      </w:pPr>
      <w:r w:rsidRPr="003E75C5">
        <w:rPr>
          <w:rFonts w:eastAsia="Calibri"/>
          <w:bCs/>
          <w:szCs w:val="24"/>
        </w:rPr>
        <w:t>Local 631</w:t>
      </w:r>
      <w:r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t>)</w:t>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p>
    <w:p w14:paraId="0766A3D7" w14:textId="4CB63416" w:rsidR="002C37D2" w:rsidRPr="003E75C5" w:rsidRDefault="002C37D2" w:rsidP="002C37D2">
      <w:pPr>
        <w:widowControl w:val="0"/>
        <w:spacing w:after="0" w:line="240" w:lineRule="auto"/>
        <w:ind w:left="4320"/>
        <w:rPr>
          <w:rFonts w:eastAsia="Calibri"/>
          <w:bCs/>
          <w:szCs w:val="24"/>
        </w:rPr>
      </w:pPr>
      <w:r w:rsidRPr="003E75C5">
        <w:rPr>
          <w:rFonts w:eastAsia="Calibri"/>
          <w:bCs/>
          <w:szCs w:val="24"/>
        </w:rPr>
        <w:t xml:space="preserve">) </w:t>
      </w:r>
      <w:r w:rsidRPr="003E75C5">
        <w:rPr>
          <w:rFonts w:eastAsia="Calibri"/>
          <w:bCs/>
          <w:szCs w:val="24"/>
        </w:rPr>
        <w:tab/>
        <w:t>PERB Case No. 21-N-0</w:t>
      </w:r>
      <w:r w:rsidR="004C5953" w:rsidRPr="003E75C5">
        <w:rPr>
          <w:rFonts w:eastAsia="Calibri"/>
          <w:bCs/>
          <w:szCs w:val="24"/>
        </w:rPr>
        <w:t>4</w:t>
      </w:r>
    </w:p>
    <w:p w14:paraId="07A829B4" w14:textId="77777777" w:rsidR="002C37D2" w:rsidRPr="003E75C5" w:rsidRDefault="002C37D2" w:rsidP="002C37D2">
      <w:pPr>
        <w:widowControl w:val="0"/>
        <w:spacing w:after="0" w:line="240" w:lineRule="auto"/>
        <w:ind w:left="1440"/>
        <w:rPr>
          <w:rFonts w:eastAsia="Calibri"/>
          <w:bCs/>
          <w:szCs w:val="24"/>
        </w:rPr>
      </w:pPr>
      <w:r w:rsidRPr="003E75C5">
        <w:rPr>
          <w:rFonts w:eastAsia="Calibri"/>
          <w:bCs/>
          <w:szCs w:val="24"/>
        </w:rPr>
        <w:t>Petitioner</w:t>
      </w:r>
      <w:r w:rsidRPr="003E75C5">
        <w:rPr>
          <w:rFonts w:eastAsia="Calibri"/>
          <w:bCs/>
          <w:szCs w:val="24"/>
        </w:rPr>
        <w:tab/>
      </w:r>
      <w:r w:rsidRPr="003E75C5">
        <w:rPr>
          <w:rFonts w:eastAsia="Calibri"/>
          <w:bCs/>
          <w:szCs w:val="24"/>
        </w:rPr>
        <w:tab/>
      </w:r>
      <w:r w:rsidRPr="003E75C5">
        <w:rPr>
          <w:rFonts w:eastAsia="Calibri"/>
          <w:bCs/>
          <w:szCs w:val="24"/>
        </w:rPr>
        <w:tab/>
        <w:t>)</w:t>
      </w:r>
    </w:p>
    <w:p w14:paraId="59549383" w14:textId="1EF10D4B" w:rsidR="002C37D2" w:rsidRPr="003E75C5" w:rsidRDefault="002C37D2" w:rsidP="002C37D2">
      <w:pPr>
        <w:widowControl w:val="0"/>
        <w:spacing w:after="0" w:line="240" w:lineRule="auto"/>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 xml:space="preserve">) </w:t>
      </w:r>
      <w:r w:rsidRPr="003E75C5">
        <w:rPr>
          <w:rFonts w:eastAsia="Calibri"/>
          <w:bCs/>
          <w:szCs w:val="24"/>
        </w:rPr>
        <w:tab/>
        <w:t xml:space="preserve">Opinion No.  </w:t>
      </w:r>
      <w:r w:rsidR="006B5146">
        <w:rPr>
          <w:rFonts w:eastAsia="Calibri"/>
          <w:bCs/>
          <w:szCs w:val="24"/>
        </w:rPr>
        <w:t>1796</w:t>
      </w:r>
    </w:p>
    <w:p w14:paraId="1CAC007A" w14:textId="77777777" w:rsidR="002C37D2" w:rsidRPr="003E75C5" w:rsidRDefault="002C37D2" w:rsidP="002C37D2">
      <w:pPr>
        <w:widowControl w:val="0"/>
        <w:spacing w:after="0" w:line="240" w:lineRule="auto"/>
        <w:rPr>
          <w:rFonts w:eastAsia="Calibri"/>
          <w:bCs/>
          <w:szCs w:val="24"/>
        </w:rPr>
      </w:pPr>
      <w:r w:rsidRPr="003E75C5">
        <w:rPr>
          <w:rFonts w:eastAsia="Calibri"/>
          <w:bCs/>
          <w:szCs w:val="24"/>
        </w:rPr>
        <w:tab/>
        <w:t>v.</w:t>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r w:rsidRPr="003E75C5">
        <w:rPr>
          <w:rFonts w:eastAsia="Calibri"/>
          <w:bCs/>
          <w:szCs w:val="24"/>
        </w:rPr>
        <w:tab/>
        <w:t xml:space="preserve"> </w:t>
      </w:r>
    </w:p>
    <w:p w14:paraId="0D9B13C7"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11526966"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673981D5" w14:textId="453CD0E8" w:rsidR="004C5953" w:rsidRPr="003E75C5" w:rsidRDefault="00A65069" w:rsidP="002C37D2">
      <w:pPr>
        <w:widowControl w:val="0"/>
        <w:spacing w:after="0" w:line="240" w:lineRule="auto"/>
        <w:ind w:firstLine="0"/>
        <w:rPr>
          <w:rFonts w:eastAsia="Calibri"/>
          <w:bCs/>
          <w:szCs w:val="24"/>
        </w:rPr>
      </w:pPr>
      <w:r w:rsidRPr="003E75C5">
        <w:rPr>
          <w:rFonts w:eastAsia="Calibri"/>
          <w:bCs/>
          <w:szCs w:val="24"/>
        </w:rPr>
        <w:t>D</w:t>
      </w:r>
      <w:r w:rsidR="004C5953" w:rsidRPr="003E75C5">
        <w:rPr>
          <w:rFonts w:eastAsia="Calibri"/>
          <w:bCs/>
          <w:szCs w:val="24"/>
        </w:rPr>
        <w:t>istrict of Columbia Office of Labor Relations</w:t>
      </w:r>
      <w:r w:rsidR="004C5953" w:rsidRPr="003E75C5">
        <w:rPr>
          <w:rFonts w:eastAsia="Calibri"/>
          <w:bCs/>
          <w:szCs w:val="24"/>
        </w:rPr>
        <w:tab/>
        <w:t>)</w:t>
      </w:r>
      <w:r w:rsidR="004C5953" w:rsidRPr="003E75C5">
        <w:rPr>
          <w:rFonts w:eastAsia="Calibri"/>
          <w:bCs/>
          <w:szCs w:val="24"/>
        </w:rPr>
        <w:tab/>
      </w:r>
    </w:p>
    <w:p w14:paraId="58A26DB4" w14:textId="228BC8BA"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and Collective Bargaining,</w:t>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078A874F" w14:textId="02B0F3D8"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D.C. Office of Human Resources,</w:t>
      </w:r>
      <w:r w:rsidRPr="003E75C5">
        <w:rPr>
          <w:rFonts w:eastAsia="Calibri"/>
          <w:bCs/>
          <w:szCs w:val="24"/>
        </w:rPr>
        <w:tab/>
      </w:r>
      <w:r w:rsidRPr="003E75C5">
        <w:rPr>
          <w:rFonts w:eastAsia="Calibri"/>
          <w:bCs/>
          <w:szCs w:val="24"/>
        </w:rPr>
        <w:tab/>
      </w:r>
      <w:r w:rsidRPr="003E75C5">
        <w:rPr>
          <w:rFonts w:eastAsia="Calibri"/>
          <w:bCs/>
          <w:szCs w:val="24"/>
        </w:rPr>
        <w:tab/>
        <w:t>)</w:t>
      </w:r>
    </w:p>
    <w:p w14:paraId="730C9B8A" w14:textId="7D80CB16"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D.C. Department of Public Works,</w:t>
      </w:r>
      <w:r w:rsidRPr="003E75C5">
        <w:rPr>
          <w:rFonts w:eastAsia="Calibri"/>
          <w:bCs/>
          <w:szCs w:val="24"/>
        </w:rPr>
        <w:tab/>
      </w:r>
      <w:r w:rsidRPr="003E75C5">
        <w:rPr>
          <w:rFonts w:eastAsia="Calibri"/>
          <w:bCs/>
          <w:szCs w:val="24"/>
        </w:rPr>
        <w:tab/>
      </w:r>
      <w:r w:rsidRPr="003E75C5">
        <w:rPr>
          <w:rFonts w:eastAsia="Calibri"/>
          <w:bCs/>
          <w:szCs w:val="24"/>
        </w:rPr>
        <w:tab/>
        <w:t>)</w:t>
      </w:r>
    </w:p>
    <w:p w14:paraId="13159D7B" w14:textId="1049E437"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D.C. Department of General Services,</w:t>
      </w:r>
      <w:r w:rsidRPr="003E75C5">
        <w:rPr>
          <w:rFonts w:eastAsia="Calibri"/>
          <w:bCs/>
          <w:szCs w:val="24"/>
        </w:rPr>
        <w:tab/>
      </w:r>
      <w:r w:rsidRPr="003E75C5">
        <w:rPr>
          <w:rFonts w:eastAsia="Calibri"/>
          <w:bCs/>
          <w:szCs w:val="24"/>
        </w:rPr>
        <w:tab/>
        <w:t>)</w:t>
      </w:r>
    </w:p>
    <w:p w14:paraId="0D5831BF" w14:textId="19C3A575"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D.C. Office of Planning,</w:t>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1F662D5D" w14:textId="00D8A0A8" w:rsidR="004C5953" w:rsidRPr="003E75C5" w:rsidRDefault="004C5953" w:rsidP="002C37D2">
      <w:pPr>
        <w:widowControl w:val="0"/>
        <w:spacing w:after="0" w:line="240" w:lineRule="auto"/>
        <w:ind w:firstLine="0"/>
        <w:rPr>
          <w:rFonts w:eastAsia="Calibri"/>
          <w:bCs/>
          <w:szCs w:val="24"/>
        </w:rPr>
      </w:pPr>
      <w:r w:rsidRPr="003E75C5">
        <w:rPr>
          <w:rFonts w:eastAsia="Calibri"/>
          <w:bCs/>
          <w:szCs w:val="24"/>
        </w:rPr>
        <w:t>D.C. Office of Zoning, and</w:t>
      </w: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21A2390F" w14:textId="507D51DE" w:rsidR="002C37D2" w:rsidRPr="003E75C5" w:rsidRDefault="004C5953" w:rsidP="002C37D2">
      <w:pPr>
        <w:widowControl w:val="0"/>
        <w:spacing w:after="0" w:line="240" w:lineRule="auto"/>
        <w:ind w:firstLine="0"/>
        <w:rPr>
          <w:rFonts w:eastAsia="Calibri"/>
          <w:bCs/>
          <w:szCs w:val="24"/>
        </w:rPr>
      </w:pPr>
      <w:r w:rsidRPr="003E75C5">
        <w:rPr>
          <w:rFonts w:eastAsia="Calibri"/>
          <w:bCs/>
          <w:szCs w:val="24"/>
        </w:rPr>
        <w:t>D.C. Department of Energy and Environment</w:t>
      </w:r>
      <w:r w:rsidR="003E116E" w:rsidRPr="003E75C5">
        <w:rPr>
          <w:rStyle w:val="FootnoteReference"/>
          <w:rFonts w:eastAsia="Calibri"/>
          <w:bCs/>
          <w:szCs w:val="24"/>
        </w:rPr>
        <w:footnoteReference w:id="1"/>
      </w:r>
      <w:r w:rsidR="00A65069" w:rsidRPr="003E75C5">
        <w:rPr>
          <w:rFonts w:eastAsia="Calibri"/>
          <w:bCs/>
          <w:szCs w:val="24"/>
        </w:rPr>
        <w:tab/>
      </w:r>
      <w:r w:rsidR="002C37D2" w:rsidRPr="003E75C5">
        <w:rPr>
          <w:rFonts w:eastAsia="Calibri"/>
          <w:bCs/>
          <w:szCs w:val="24"/>
        </w:rPr>
        <w:t>)</w:t>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r w:rsidR="002C37D2" w:rsidRPr="003E75C5">
        <w:rPr>
          <w:rFonts w:eastAsia="Calibri"/>
          <w:bCs/>
          <w:szCs w:val="24"/>
        </w:rPr>
        <w:tab/>
      </w:r>
    </w:p>
    <w:p w14:paraId="09288B7C" w14:textId="7CAA6E23" w:rsidR="004C5953" w:rsidRPr="003E75C5" w:rsidRDefault="004C5953" w:rsidP="002C37D2">
      <w:pPr>
        <w:widowControl w:val="0"/>
        <w:spacing w:after="0" w:line="240" w:lineRule="auto"/>
        <w:ind w:left="1440"/>
        <w:rPr>
          <w:rFonts w:eastAsia="Calibri"/>
          <w:bCs/>
          <w:szCs w:val="24"/>
        </w:rPr>
      </w:pPr>
      <w:r w:rsidRPr="003E75C5">
        <w:rPr>
          <w:rFonts w:eastAsia="Calibri"/>
          <w:bCs/>
          <w:szCs w:val="24"/>
        </w:rPr>
        <w:tab/>
      </w:r>
      <w:r w:rsidRPr="003E75C5">
        <w:rPr>
          <w:rFonts w:eastAsia="Calibri"/>
          <w:bCs/>
          <w:szCs w:val="24"/>
        </w:rPr>
        <w:tab/>
      </w:r>
      <w:r w:rsidRPr="003E75C5">
        <w:rPr>
          <w:rFonts w:eastAsia="Calibri"/>
          <w:bCs/>
          <w:szCs w:val="24"/>
        </w:rPr>
        <w:tab/>
      </w:r>
      <w:r w:rsidRPr="003E75C5">
        <w:rPr>
          <w:rFonts w:eastAsia="Calibri"/>
          <w:bCs/>
          <w:szCs w:val="24"/>
        </w:rPr>
        <w:tab/>
        <w:t>)</w:t>
      </w:r>
    </w:p>
    <w:p w14:paraId="6773C778" w14:textId="67A03BF1" w:rsidR="002C37D2" w:rsidRPr="003E75C5" w:rsidRDefault="002C37D2" w:rsidP="002C37D2">
      <w:pPr>
        <w:widowControl w:val="0"/>
        <w:spacing w:after="0" w:line="240" w:lineRule="auto"/>
        <w:ind w:left="1440"/>
        <w:rPr>
          <w:rFonts w:eastAsia="Calibri"/>
          <w:bCs/>
          <w:szCs w:val="24"/>
        </w:rPr>
      </w:pPr>
      <w:r w:rsidRPr="003E75C5">
        <w:rPr>
          <w:rFonts w:eastAsia="Calibri"/>
          <w:bCs/>
          <w:szCs w:val="24"/>
        </w:rPr>
        <w:t>Respondent</w:t>
      </w:r>
      <w:r w:rsidRPr="003E75C5">
        <w:rPr>
          <w:rFonts w:eastAsia="Calibri"/>
          <w:bCs/>
          <w:szCs w:val="24"/>
        </w:rPr>
        <w:tab/>
      </w:r>
      <w:r w:rsidRPr="003E75C5">
        <w:rPr>
          <w:rFonts w:eastAsia="Calibri"/>
          <w:bCs/>
          <w:szCs w:val="24"/>
        </w:rPr>
        <w:tab/>
      </w:r>
      <w:r w:rsidRPr="003E75C5">
        <w:rPr>
          <w:rFonts w:eastAsia="Calibri"/>
          <w:bCs/>
          <w:szCs w:val="24"/>
        </w:rPr>
        <w:tab/>
        <w:t>)</w:t>
      </w:r>
    </w:p>
    <w:p w14:paraId="5FB82A52" w14:textId="77777777" w:rsidR="002C37D2" w:rsidRPr="003E75C5" w:rsidRDefault="002C37D2" w:rsidP="002C37D2">
      <w:pPr>
        <w:widowControl w:val="0"/>
        <w:spacing w:after="0" w:line="240" w:lineRule="auto"/>
        <w:ind w:firstLine="0"/>
        <w:rPr>
          <w:rFonts w:eastAsia="Calibri"/>
          <w:bCs/>
          <w:szCs w:val="24"/>
        </w:rPr>
      </w:pPr>
      <w:r w:rsidRPr="003E75C5">
        <w:rPr>
          <w:rFonts w:eastAsia="Calibri"/>
          <w:bCs/>
          <w:szCs w:val="24"/>
        </w:rPr>
        <w:t>_________________________________________</w:t>
      </w:r>
      <w:r w:rsidRPr="003E75C5">
        <w:rPr>
          <w:rFonts w:eastAsia="Calibri"/>
          <w:bCs/>
          <w:szCs w:val="24"/>
        </w:rPr>
        <w:tab/>
        <w:t>)</w:t>
      </w:r>
    </w:p>
    <w:p w14:paraId="373C82ED" w14:textId="77777777" w:rsidR="002C37D2" w:rsidRPr="003E75C5" w:rsidRDefault="002C37D2" w:rsidP="002C37D2">
      <w:pPr>
        <w:spacing w:line="256" w:lineRule="auto"/>
        <w:ind w:firstLine="0"/>
        <w:jc w:val="left"/>
        <w:rPr>
          <w:rFonts w:eastAsia="Calibri"/>
          <w:sz w:val="22"/>
          <w:szCs w:val="22"/>
        </w:rPr>
      </w:pPr>
    </w:p>
    <w:p w14:paraId="27779098" w14:textId="77777777" w:rsidR="002C37D2" w:rsidRPr="003E75C5" w:rsidRDefault="002C37D2" w:rsidP="002C37D2">
      <w:pPr>
        <w:spacing w:line="256" w:lineRule="auto"/>
        <w:ind w:firstLine="0"/>
        <w:jc w:val="center"/>
        <w:rPr>
          <w:rFonts w:eastAsia="Calibri"/>
          <w:b/>
          <w:szCs w:val="24"/>
        </w:rPr>
      </w:pPr>
      <w:r w:rsidRPr="003E75C5">
        <w:rPr>
          <w:rFonts w:eastAsia="Calibri"/>
          <w:b/>
          <w:szCs w:val="24"/>
        </w:rPr>
        <w:t xml:space="preserve">DECISION AND ORDER </w:t>
      </w:r>
    </w:p>
    <w:p w14:paraId="30F2F089" w14:textId="77777777" w:rsidR="002C37D2" w:rsidRPr="003E75C5" w:rsidRDefault="002C37D2" w:rsidP="002C37D2">
      <w:pPr>
        <w:numPr>
          <w:ilvl w:val="0"/>
          <w:numId w:val="1"/>
        </w:numPr>
        <w:spacing w:line="256" w:lineRule="auto"/>
        <w:contextualSpacing/>
        <w:jc w:val="left"/>
        <w:rPr>
          <w:rFonts w:eastAsia="Calibri"/>
          <w:b/>
          <w:szCs w:val="24"/>
        </w:rPr>
      </w:pPr>
      <w:r w:rsidRPr="003E75C5">
        <w:rPr>
          <w:rFonts w:eastAsia="Calibri"/>
          <w:b/>
          <w:szCs w:val="24"/>
        </w:rPr>
        <w:t xml:space="preserve">Statement of the Case </w:t>
      </w:r>
    </w:p>
    <w:p w14:paraId="73027F06" w14:textId="77777777" w:rsidR="002C37D2" w:rsidRPr="003E75C5" w:rsidRDefault="002C37D2" w:rsidP="002C37D2">
      <w:pPr>
        <w:spacing w:line="256" w:lineRule="auto"/>
        <w:ind w:left="1080" w:firstLine="0"/>
        <w:contextualSpacing/>
        <w:rPr>
          <w:rFonts w:eastAsia="Calibri"/>
          <w:b/>
          <w:szCs w:val="24"/>
        </w:rPr>
      </w:pPr>
    </w:p>
    <w:p w14:paraId="14FCBD58" w14:textId="0ECFB873" w:rsidR="008902D7" w:rsidRPr="003E75C5" w:rsidRDefault="002C37D2" w:rsidP="00246518">
      <w:pPr>
        <w:spacing w:line="256" w:lineRule="auto"/>
        <w:rPr>
          <w:rFonts w:eastAsia="Calibri"/>
          <w:szCs w:val="24"/>
        </w:rPr>
      </w:pPr>
      <w:r w:rsidRPr="003E75C5">
        <w:rPr>
          <w:rFonts w:eastAsia="Calibri"/>
          <w:szCs w:val="24"/>
        </w:rPr>
        <w:t xml:space="preserve">On </w:t>
      </w:r>
      <w:r w:rsidR="00022FF9" w:rsidRPr="003E75C5">
        <w:rPr>
          <w:rFonts w:eastAsia="Calibri"/>
          <w:szCs w:val="24"/>
        </w:rPr>
        <w:t>May 2</w:t>
      </w:r>
      <w:r w:rsidR="005A5ED0" w:rsidRPr="003E75C5">
        <w:rPr>
          <w:rFonts w:eastAsia="Calibri"/>
          <w:szCs w:val="24"/>
        </w:rPr>
        <w:t>5</w:t>
      </w:r>
      <w:r w:rsidRPr="003E75C5">
        <w:rPr>
          <w:rFonts w:eastAsia="Calibri"/>
          <w:szCs w:val="24"/>
        </w:rPr>
        <w:t>, 202</w:t>
      </w:r>
      <w:r w:rsidR="00B76F95" w:rsidRPr="003E75C5">
        <w:rPr>
          <w:rFonts w:eastAsia="Calibri"/>
          <w:szCs w:val="24"/>
        </w:rPr>
        <w:t>1</w:t>
      </w:r>
      <w:r w:rsidRPr="003E75C5">
        <w:rPr>
          <w:rFonts w:eastAsia="Calibri"/>
          <w:szCs w:val="24"/>
        </w:rPr>
        <w:t xml:space="preserve">, the American Federation of </w:t>
      </w:r>
      <w:r w:rsidR="00B76F95" w:rsidRPr="003E75C5">
        <w:rPr>
          <w:rFonts w:eastAsia="Calibri"/>
          <w:szCs w:val="24"/>
        </w:rPr>
        <w:t>Government Employees</w:t>
      </w:r>
      <w:r w:rsidR="00FD561E">
        <w:rPr>
          <w:rFonts w:eastAsia="Calibri"/>
          <w:szCs w:val="24"/>
        </w:rPr>
        <w:t>,</w:t>
      </w:r>
      <w:r w:rsidRPr="003E75C5">
        <w:rPr>
          <w:rFonts w:eastAsia="Calibri"/>
          <w:szCs w:val="24"/>
        </w:rPr>
        <w:t xml:space="preserve"> Local</w:t>
      </w:r>
      <w:r w:rsidR="00022FF9" w:rsidRPr="003E75C5">
        <w:rPr>
          <w:rFonts w:eastAsia="Calibri"/>
          <w:szCs w:val="24"/>
        </w:rPr>
        <w:t xml:space="preserve"> 631</w:t>
      </w:r>
      <w:r w:rsidR="00B76F95" w:rsidRPr="003E75C5">
        <w:rPr>
          <w:rFonts w:eastAsia="Calibri"/>
          <w:szCs w:val="24"/>
        </w:rPr>
        <w:t xml:space="preserve"> </w:t>
      </w:r>
      <w:r w:rsidR="00706643" w:rsidRPr="003E75C5">
        <w:rPr>
          <w:rFonts w:eastAsia="Calibri"/>
          <w:szCs w:val="24"/>
        </w:rPr>
        <w:t>(Union</w:t>
      </w:r>
      <w:r w:rsidRPr="003E75C5">
        <w:rPr>
          <w:rFonts w:eastAsia="Calibri"/>
          <w:szCs w:val="24"/>
        </w:rPr>
        <w:t xml:space="preserve">) filed the instant Negotiability Appeal (Appeal). The Appeal concerns proposals made by </w:t>
      </w:r>
      <w:r w:rsidR="008902D7" w:rsidRPr="003E75C5">
        <w:rPr>
          <w:rFonts w:eastAsia="Calibri"/>
          <w:szCs w:val="24"/>
        </w:rPr>
        <w:t>the Union</w:t>
      </w:r>
      <w:r w:rsidRPr="003E75C5">
        <w:rPr>
          <w:rFonts w:eastAsia="Calibri"/>
          <w:szCs w:val="24"/>
        </w:rPr>
        <w:t xml:space="preserve"> and declared nonnegotiable by</w:t>
      </w:r>
      <w:r w:rsidR="002E4AD6" w:rsidRPr="003E75C5">
        <w:rPr>
          <w:rFonts w:eastAsia="Calibri"/>
          <w:szCs w:val="24"/>
        </w:rPr>
        <w:t xml:space="preserve"> various </w:t>
      </w:r>
      <w:r w:rsidR="00706643" w:rsidRPr="003E75C5">
        <w:rPr>
          <w:rFonts w:eastAsia="Calibri"/>
          <w:szCs w:val="24"/>
        </w:rPr>
        <w:t xml:space="preserve">departments of the District </w:t>
      </w:r>
      <w:r w:rsidR="00022FF9" w:rsidRPr="003E75C5">
        <w:rPr>
          <w:rFonts w:eastAsia="Calibri"/>
          <w:szCs w:val="24"/>
        </w:rPr>
        <w:t>g</w:t>
      </w:r>
      <w:r w:rsidR="00706643" w:rsidRPr="003E75C5">
        <w:rPr>
          <w:rFonts w:eastAsia="Calibri"/>
          <w:szCs w:val="24"/>
        </w:rPr>
        <w:t>overnment</w:t>
      </w:r>
      <w:r w:rsidRPr="003E75C5">
        <w:rPr>
          <w:rFonts w:eastAsia="Calibri"/>
          <w:szCs w:val="24"/>
        </w:rPr>
        <w:t xml:space="preserve"> </w:t>
      </w:r>
      <w:r w:rsidRPr="003E75C5">
        <w:rPr>
          <w:rFonts w:eastAsia="Calibri"/>
          <w:szCs w:val="24"/>
        </w:rPr>
        <w:lastRenderedPageBreak/>
        <w:t>(</w:t>
      </w:r>
      <w:r w:rsidR="00CB7F41" w:rsidRPr="003E75C5">
        <w:rPr>
          <w:rFonts w:eastAsia="Calibri"/>
          <w:szCs w:val="24"/>
        </w:rPr>
        <w:t>Agen</w:t>
      </w:r>
      <w:r w:rsidR="009D3B8E" w:rsidRPr="003E75C5">
        <w:rPr>
          <w:rFonts w:eastAsia="Calibri"/>
          <w:szCs w:val="24"/>
        </w:rPr>
        <w:t>cy</w:t>
      </w:r>
      <w:r w:rsidRPr="003E75C5">
        <w:rPr>
          <w:rFonts w:eastAsia="Calibri"/>
          <w:szCs w:val="24"/>
        </w:rPr>
        <w:t>)</w:t>
      </w:r>
      <w:r w:rsidR="009F312C" w:rsidRPr="003E75C5">
        <w:rPr>
          <w:rFonts w:eastAsia="Calibri"/>
          <w:szCs w:val="24"/>
        </w:rPr>
        <w:t xml:space="preserve"> during</w:t>
      </w:r>
      <w:r w:rsidR="00773EA8" w:rsidRPr="003E75C5">
        <w:rPr>
          <w:rFonts w:eastAsia="Calibri"/>
          <w:szCs w:val="24"/>
        </w:rPr>
        <w:t xml:space="preserve"> </w:t>
      </w:r>
      <w:r w:rsidR="00272876" w:rsidRPr="003E75C5">
        <w:rPr>
          <w:rFonts w:eastAsia="Calibri"/>
          <w:szCs w:val="24"/>
        </w:rPr>
        <w:t xml:space="preserve">negotiations over </w:t>
      </w:r>
      <w:r w:rsidR="00022FF9" w:rsidRPr="003E75C5">
        <w:rPr>
          <w:rFonts w:eastAsia="Calibri"/>
          <w:szCs w:val="24"/>
        </w:rPr>
        <w:t xml:space="preserve">the impact and effects of revisions to </w:t>
      </w:r>
      <w:r w:rsidR="00F10261" w:rsidRPr="003E75C5">
        <w:rPr>
          <w:rFonts w:eastAsia="Calibri"/>
          <w:szCs w:val="24"/>
        </w:rPr>
        <w:t>“</w:t>
      </w:r>
      <w:r w:rsidR="00022FF9" w:rsidRPr="003E75C5">
        <w:rPr>
          <w:rFonts w:eastAsia="Calibri"/>
          <w:szCs w:val="24"/>
        </w:rPr>
        <w:t>Chapter 4</w:t>
      </w:r>
      <w:r w:rsidR="00A2627D" w:rsidRPr="003E75C5">
        <w:rPr>
          <w:rFonts w:eastAsia="Calibri"/>
          <w:szCs w:val="24"/>
        </w:rPr>
        <w:t xml:space="preserve"> </w:t>
      </w:r>
      <w:r w:rsidR="00022FF9" w:rsidRPr="003E75C5">
        <w:rPr>
          <w:rFonts w:eastAsia="Calibri"/>
          <w:szCs w:val="24"/>
        </w:rPr>
        <w:t>- Suitability</w:t>
      </w:r>
      <w:r w:rsidR="00F10261" w:rsidRPr="003E75C5">
        <w:rPr>
          <w:rFonts w:eastAsia="Calibri"/>
          <w:szCs w:val="24"/>
        </w:rPr>
        <w:t>”</w:t>
      </w:r>
      <w:r w:rsidR="00022FF9" w:rsidRPr="003E75C5">
        <w:rPr>
          <w:rFonts w:eastAsia="Calibri"/>
          <w:szCs w:val="24"/>
        </w:rPr>
        <w:t xml:space="preserve"> of the District Personnel Manual (DPM)</w:t>
      </w:r>
      <w:r w:rsidR="0092471E" w:rsidRPr="003E75C5">
        <w:rPr>
          <w:rFonts w:eastAsia="Calibri"/>
          <w:szCs w:val="24"/>
        </w:rPr>
        <w:t>.</w:t>
      </w:r>
      <w:r w:rsidR="00497256" w:rsidRPr="003E75C5">
        <w:rPr>
          <w:rStyle w:val="FootnoteReference"/>
          <w:rFonts w:eastAsia="Calibri"/>
          <w:szCs w:val="24"/>
        </w:rPr>
        <w:footnoteReference w:id="2"/>
      </w:r>
      <w:r w:rsidRPr="003E75C5">
        <w:rPr>
          <w:rFonts w:eastAsia="Calibri"/>
          <w:szCs w:val="24"/>
        </w:rPr>
        <w:t xml:space="preserve"> </w:t>
      </w:r>
    </w:p>
    <w:p w14:paraId="331678C6" w14:textId="3C9337B4" w:rsidR="008902D7" w:rsidRPr="003E75C5" w:rsidRDefault="008902D7" w:rsidP="005109C3">
      <w:pPr>
        <w:pStyle w:val="ListParagraph"/>
        <w:numPr>
          <w:ilvl w:val="0"/>
          <w:numId w:val="1"/>
        </w:numPr>
        <w:spacing w:line="256" w:lineRule="auto"/>
        <w:rPr>
          <w:rFonts w:eastAsia="Calibri"/>
          <w:b/>
          <w:bCs/>
          <w:szCs w:val="24"/>
        </w:rPr>
      </w:pPr>
      <w:r w:rsidRPr="003E75C5">
        <w:rPr>
          <w:rFonts w:eastAsia="Calibri"/>
          <w:b/>
          <w:bCs/>
          <w:szCs w:val="24"/>
        </w:rPr>
        <w:t>Background</w:t>
      </w:r>
    </w:p>
    <w:p w14:paraId="6386779F" w14:textId="3686750F" w:rsidR="002C37D2" w:rsidRPr="003E75C5" w:rsidRDefault="00272876" w:rsidP="002C37D2">
      <w:pPr>
        <w:spacing w:line="256" w:lineRule="auto"/>
        <w:rPr>
          <w:rFonts w:eastAsia="Calibri"/>
          <w:szCs w:val="24"/>
        </w:rPr>
      </w:pPr>
      <w:r w:rsidRPr="003E75C5">
        <w:rPr>
          <w:rFonts w:eastAsia="Calibri"/>
          <w:szCs w:val="24"/>
        </w:rPr>
        <w:t xml:space="preserve">On </w:t>
      </w:r>
      <w:r w:rsidR="0027759D" w:rsidRPr="003E75C5">
        <w:rPr>
          <w:rFonts w:eastAsia="Calibri"/>
          <w:szCs w:val="24"/>
        </w:rPr>
        <w:t>August 27</w:t>
      </w:r>
      <w:r w:rsidR="009D3B8E" w:rsidRPr="003E75C5">
        <w:rPr>
          <w:rFonts w:eastAsia="Calibri"/>
          <w:szCs w:val="24"/>
        </w:rPr>
        <w:t>, 20</w:t>
      </w:r>
      <w:r w:rsidR="0027759D" w:rsidRPr="003E75C5">
        <w:rPr>
          <w:rFonts w:eastAsia="Calibri"/>
          <w:szCs w:val="24"/>
        </w:rPr>
        <w:t>20</w:t>
      </w:r>
      <w:r w:rsidR="009D3B8E" w:rsidRPr="003E75C5">
        <w:rPr>
          <w:rFonts w:eastAsia="Calibri"/>
          <w:szCs w:val="24"/>
        </w:rPr>
        <w:t>, the Union submitted its initial proposal</w:t>
      </w:r>
      <w:r w:rsidRPr="003E75C5">
        <w:rPr>
          <w:rFonts w:eastAsia="Calibri"/>
          <w:szCs w:val="24"/>
        </w:rPr>
        <w:t>s to the Agency</w:t>
      </w:r>
      <w:r w:rsidR="009D3B8E" w:rsidRPr="003E75C5">
        <w:rPr>
          <w:rFonts w:eastAsia="Calibri"/>
          <w:szCs w:val="24"/>
        </w:rPr>
        <w:t>.</w:t>
      </w:r>
      <w:r w:rsidR="009D3B8E" w:rsidRPr="003E75C5">
        <w:rPr>
          <w:rStyle w:val="FootnoteReference"/>
          <w:rFonts w:eastAsia="Calibri"/>
          <w:szCs w:val="24"/>
        </w:rPr>
        <w:footnoteReference w:id="3"/>
      </w:r>
      <w:r w:rsidR="009D3B8E" w:rsidRPr="003E75C5">
        <w:rPr>
          <w:rFonts w:eastAsia="Calibri"/>
          <w:szCs w:val="24"/>
        </w:rPr>
        <w:t xml:space="preserve"> On </w:t>
      </w:r>
      <w:r w:rsidR="001C287C" w:rsidRPr="003E75C5">
        <w:rPr>
          <w:rFonts w:eastAsia="Calibri"/>
          <w:szCs w:val="24"/>
        </w:rPr>
        <w:t xml:space="preserve">April </w:t>
      </w:r>
      <w:r w:rsidR="00E059BD" w:rsidRPr="003E75C5">
        <w:rPr>
          <w:rFonts w:eastAsia="Calibri"/>
          <w:szCs w:val="24"/>
        </w:rPr>
        <w:t>21</w:t>
      </w:r>
      <w:r w:rsidR="001C287C" w:rsidRPr="003E75C5">
        <w:rPr>
          <w:rFonts w:eastAsia="Calibri"/>
          <w:szCs w:val="24"/>
        </w:rPr>
        <w:t>, 2021, the Agency declared</w:t>
      </w:r>
      <w:r w:rsidR="00E059BD" w:rsidRPr="003E75C5">
        <w:rPr>
          <w:rFonts w:eastAsia="Calibri"/>
          <w:szCs w:val="24"/>
        </w:rPr>
        <w:t xml:space="preserve"> </w:t>
      </w:r>
      <w:r w:rsidR="001C287C" w:rsidRPr="003E75C5">
        <w:rPr>
          <w:rFonts w:eastAsia="Calibri"/>
          <w:szCs w:val="24"/>
        </w:rPr>
        <w:t xml:space="preserve">six proposals nonnegotiable. </w:t>
      </w:r>
      <w:r w:rsidR="00F01E93">
        <w:rPr>
          <w:rFonts w:eastAsia="Calibri"/>
          <w:szCs w:val="24"/>
        </w:rPr>
        <w:t xml:space="preserve">On </w:t>
      </w:r>
      <w:r w:rsidR="002445CC">
        <w:rPr>
          <w:rFonts w:eastAsia="Calibri"/>
          <w:szCs w:val="24"/>
        </w:rPr>
        <w:t xml:space="preserve">May 13, 2021, the Union </w:t>
      </w:r>
      <w:r w:rsidR="002666C0">
        <w:rPr>
          <w:rFonts w:eastAsia="Calibri"/>
          <w:szCs w:val="24"/>
        </w:rPr>
        <w:t>offered the Agency revisions to</w:t>
      </w:r>
      <w:r w:rsidR="002445CC">
        <w:rPr>
          <w:rFonts w:eastAsia="Calibri"/>
          <w:szCs w:val="24"/>
        </w:rPr>
        <w:t xml:space="preserve"> a number of its previous proposals.</w:t>
      </w:r>
      <w:r w:rsidR="00E646AE">
        <w:rPr>
          <w:rFonts w:eastAsia="Calibri"/>
          <w:szCs w:val="24"/>
        </w:rPr>
        <w:t xml:space="preserve"> </w:t>
      </w:r>
      <w:r w:rsidR="009D3B8E" w:rsidRPr="003E75C5">
        <w:rPr>
          <w:rFonts w:eastAsia="Calibri"/>
          <w:szCs w:val="24"/>
        </w:rPr>
        <w:t>The Union</w:t>
      </w:r>
      <w:r w:rsidR="002C37D2" w:rsidRPr="003E75C5">
        <w:rPr>
          <w:rFonts w:eastAsia="Calibri"/>
          <w:szCs w:val="24"/>
        </w:rPr>
        <w:t xml:space="preserve"> timely filed this Appeal asserting that </w:t>
      </w:r>
      <w:r w:rsidR="00E646AE">
        <w:rPr>
          <w:rFonts w:eastAsia="Calibri"/>
          <w:szCs w:val="24"/>
        </w:rPr>
        <w:t>four of its</w:t>
      </w:r>
      <w:r w:rsidR="002C37D2" w:rsidRPr="003E75C5">
        <w:rPr>
          <w:rFonts w:eastAsia="Calibri"/>
          <w:szCs w:val="24"/>
        </w:rPr>
        <w:t xml:space="preserve"> proposals were negotiable. On </w:t>
      </w:r>
      <w:r w:rsidR="003E116E" w:rsidRPr="003E75C5">
        <w:rPr>
          <w:rFonts w:eastAsia="Calibri"/>
          <w:szCs w:val="24"/>
        </w:rPr>
        <w:t>June 14</w:t>
      </w:r>
      <w:r w:rsidR="002C37D2" w:rsidRPr="003E75C5">
        <w:rPr>
          <w:rFonts w:eastAsia="Calibri"/>
          <w:szCs w:val="24"/>
        </w:rPr>
        <w:t>, 202</w:t>
      </w:r>
      <w:r w:rsidR="009D3B8E" w:rsidRPr="003E75C5">
        <w:rPr>
          <w:rFonts w:eastAsia="Calibri"/>
          <w:szCs w:val="24"/>
        </w:rPr>
        <w:t>1</w:t>
      </w:r>
      <w:r w:rsidR="002C37D2" w:rsidRPr="003E75C5">
        <w:rPr>
          <w:rFonts w:eastAsia="Calibri"/>
          <w:szCs w:val="24"/>
        </w:rPr>
        <w:t xml:space="preserve">, </w:t>
      </w:r>
      <w:r w:rsidR="009D3B8E" w:rsidRPr="003E75C5">
        <w:rPr>
          <w:rFonts w:eastAsia="Calibri"/>
          <w:szCs w:val="24"/>
        </w:rPr>
        <w:t>the Agency</w:t>
      </w:r>
      <w:r w:rsidR="002C37D2" w:rsidRPr="003E75C5">
        <w:rPr>
          <w:rFonts w:eastAsia="Calibri"/>
          <w:szCs w:val="24"/>
        </w:rPr>
        <w:t xml:space="preserve"> filed its Answer to the Appeal</w:t>
      </w:r>
      <w:r w:rsidR="001C287C" w:rsidRPr="003E75C5">
        <w:rPr>
          <w:rFonts w:eastAsia="Calibri"/>
          <w:szCs w:val="24"/>
        </w:rPr>
        <w:t>.</w:t>
      </w:r>
      <w:r w:rsidR="009D3B8E" w:rsidRPr="003E75C5">
        <w:rPr>
          <w:rStyle w:val="FootnoteReference"/>
          <w:rFonts w:eastAsia="Calibri"/>
          <w:szCs w:val="24"/>
        </w:rPr>
        <w:footnoteReference w:id="4"/>
      </w:r>
      <w:r w:rsidR="009D3B8E" w:rsidRPr="003E75C5">
        <w:rPr>
          <w:rFonts w:eastAsia="Calibri"/>
          <w:szCs w:val="24"/>
        </w:rPr>
        <w:t xml:space="preserve"> </w:t>
      </w:r>
      <w:r w:rsidR="002C37D2" w:rsidRPr="003E75C5">
        <w:rPr>
          <w:rFonts w:eastAsia="Calibri"/>
          <w:szCs w:val="24"/>
        </w:rPr>
        <w:t xml:space="preserve"> </w:t>
      </w:r>
    </w:p>
    <w:p w14:paraId="449588EA" w14:textId="77777777" w:rsidR="002C37D2" w:rsidRPr="003E75C5" w:rsidRDefault="002C37D2" w:rsidP="002C37D2">
      <w:pPr>
        <w:numPr>
          <w:ilvl w:val="0"/>
          <w:numId w:val="1"/>
        </w:numPr>
        <w:spacing w:line="256" w:lineRule="auto"/>
        <w:contextualSpacing/>
        <w:jc w:val="left"/>
        <w:rPr>
          <w:rFonts w:eastAsia="Calibri"/>
          <w:b/>
          <w:szCs w:val="24"/>
        </w:rPr>
      </w:pPr>
      <w:r w:rsidRPr="003E75C5">
        <w:rPr>
          <w:rFonts w:eastAsia="Calibri"/>
          <w:b/>
          <w:szCs w:val="24"/>
        </w:rPr>
        <w:t>Standard of Review</w:t>
      </w:r>
    </w:p>
    <w:p w14:paraId="3B0A0753" w14:textId="77777777" w:rsidR="004317BB" w:rsidRPr="003E75C5" w:rsidRDefault="004317BB" w:rsidP="002C37D2">
      <w:pPr>
        <w:spacing w:after="0" w:line="240" w:lineRule="auto"/>
        <w:rPr>
          <w:rFonts w:eastAsia="Calibri"/>
        </w:rPr>
      </w:pPr>
    </w:p>
    <w:p w14:paraId="46089D2B" w14:textId="64B4ED0F" w:rsidR="00141B4B" w:rsidRPr="003E75C5" w:rsidRDefault="00141B4B" w:rsidP="00141B4B">
      <w:pPr>
        <w:spacing w:after="0" w:line="240" w:lineRule="auto"/>
        <w:rPr>
          <w:rFonts w:eastAsia="Calibri"/>
          <w:b/>
          <w:color w:val="FF0000"/>
        </w:rPr>
      </w:pPr>
      <w:r w:rsidRPr="003E75C5">
        <w:rPr>
          <w:rFonts w:eastAsia="Calibri"/>
        </w:rPr>
        <w:t>There are three categories of collective bargaining subjects: (1) mandatory subjects</w:t>
      </w:r>
      <w:r w:rsidR="00D14358">
        <w:rPr>
          <w:rFonts w:eastAsia="Calibri"/>
        </w:rPr>
        <w:t>,</w:t>
      </w:r>
      <w:r w:rsidRPr="003E75C5">
        <w:rPr>
          <w:rFonts w:eastAsia="Calibri"/>
        </w:rPr>
        <w:t xml:space="preserve"> over which the parties must bargain; (2) permissive subjects</w:t>
      </w:r>
      <w:r w:rsidR="00D14358">
        <w:rPr>
          <w:rFonts w:eastAsia="Calibri"/>
        </w:rPr>
        <w:t>,</w:t>
      </w:r>
      <w:r w:rsidRPr="003E75C5">
        <w:rPr>
          <w:rFonts w:eastAsia="Calibri"/>
        </w:rPr>
        <w:t xml:space="preserve"> over which the parties may bargain; and (3) illegal subjects</w:t>
      </w:r>
      <w:r w:rsidR="00D14358">
        <w:rPr>
          <w:rFonts w:eastAsia="Calibri"/>
        </w:rPr>
        <w:t>,</w:t>
      </w:r>
      <w:r w:rsidRPr="003E75C5">
        <w:rPr>
          <w:rFonts w:eastAsia="Calibri"/>
        </w:rPr>
        <w:t xml:space="preserve"> over which the parties may not legally bargain.</w:t>
      </w:r>
      <w:r w:rsidRPr="003E75C5">
        <w:rPr>
          <w:rFonts w:eastAsia="Calibri"/>
          <w:sz w:val="22"/>
          <w:szCs w:val="22"/>
          <w:vertAlign w:val="superscript"/>
        </w:rPr>
        <w:footnoteReference w:id="5"/>
      </w:r>
      <w:r w:rsidRPr="003E75C5">
        <w:rPr>
          <w:rFonts w:eastAsia="Calibri"/>
        </w:rPr>
        <w:t xml:space="preserve"> A permissive subject of bargaining is nonnegotiable if either party declines to bargain on the subject.</w:t>
      </w:r>
      <w:r w:rsidRPr="003E75C5">
        <w:rPr>
          <w:rFonts w:eastAsia="Calibri"/>
          <w:vertAlign w:val="superscript"/>
        </w:rPr>
        <w:footnoteReference w:id="6"/>
      </w:r>
      <w:r w:rsidRPr="003E75C5">
        <w:rPr>
          <w:rFonts w:eastAsia="Calibri"/>
        </w:rPr>
        <w:t xml:space="preserve"> </w:t>
      </w:r>
    </w:p>
    <w:p w14:paraId="538253EF" w14:textId="77777777" w:rsidR="00141B4B" w:rsidRPr="003E75C5" w:rsidRDefault="00141B4B" w:rsidP="00141B4B">
      <w:pPr>
        <w:spacing w:after="0" w:line="240" w:lineRule="auto"/>
        <w:rPr>
          <w:rFonts w:eastAsia="Calibri"/>
        </w:rPr>
      </w:pPr>
    </w:p>
    <w:p w14:paraId="49DAE572" w14:textId="37BB90BE" w:rsidR="00141B4B" w:rsidRPr="003E75C5" w:rsidRDefault="00141B4B" w:rsidP="00141B4B">
      <w:pPr>
        <w:spacing w:after="0" w:line="240" w:lineRule="auto"/>
        <w:rPr>
          <w:rFonts w:eastAsia="Calibri"/>
        </w:rPr>
      </w:pPr>
      <w:r w:rsidRPr="003E75C5">
        <w:rPr>
          <w:rFonts w:eastAsia="Calibri"/>
        </w:rPr>
        <w:t>Management rights are permissive subjects of bargaining.</w:t>
      </w:r>
      <w:r w:rsidRPr="003E75C5">
        <w:rPr>
          <w:rFonts w:eastAsia="Calibri"/>
          <w:sz w:val="22"/>
          <w:szCs w:val="22"/>
          <w:vertAlign w:val="superscript"/>
        </w:rPr>
        <w:footnoteReference w:id="7"/>
      </w:r>
      <w:r w:rsidR="007C425A">
        <w:rPr>
          <w:rFonts w:eastAsia="Calibri"/>
        </w:rPr>
        <w:t xml:space="preserve"> Section</w:t>
      </w:r>
      <w:r w:rsidR="000B310B" w:rsidRPr="003E75C5">
        <w:rPr>
          <w:rFonts w:eastAsia="Calibri"/>
        </w:rPr>
        <w:t xml:space="preserve"> </w:t>
      </w:r>
      <w:r w:rsidRPr="003E75C5">
        <w:rPr>
          <w:rFonts w:eastAsia="Calibri"/>
        </w:rPr>
        <w:t>1-617.08(a) of the D.C. Official Code sets forth management rights giving management  “sole rights” to undertake actions listed therein.</w:t>
      </w:r>
      <w:r w:rsidRPr="003E75C5">
        <w:rPr>
          <w:rFonts w:eastAsia="Calibri"/>
          <w:vertAlign w:val="superscript"/>
        </w:rPr>
        <w:footnoteReference w:id="8"/>
      </w:r>
      <w:r w:rsidRPr="003E75C5">
        <w:rPr>
          <w:rFonts w:eastAsia="Calibri"/>
        </w:rPr>
        <w:t xml:space="preserve"> </w:t>
      </w:r>
    </w:p>
    <w:p w14:paraId="6DA11649" w14:textId="77777777" w:rsidR="00141B4B" w:rsidRPr="003E75C5" w:rsidRDefault="00141B4B" w:rsidP="00141B4B">
      <w:pPr>
        <w:spacing w:after="0" w:line="240" w:lineRule="auto"/>
        <w:rPr>
          <w:rFonts w:eastAsia="Calibri"/>
        </w:rPr>
      </w:pPr>
    </w:p>
    <w:p w14:paraId="57E0E07C" w14:textId="41D6F6C8" w:rsidR="00141B4B" w:rsidRPr="003E75C5" w:rsidRDefault="00141B4B" w:rsidP="00141B4B">
      <w:pPr>
        <w:spacing w:after="0" w:line="240" w:lineRule="auto"/>
        <w:rPr>
          <w:rFonts w:eastAsia="Calibri"/>
        </w:rPr>
      </w:pPr>
      <w:r w:rsidRPr="003E75C5">
        <w:rPr>
          <w:rFonts w:eastAsia="Calibri"/>
        </w:rPr>
        <w:t xml:space="preserve">Matters that do not contravene </w:t>
      </w:r>
      <w:r w:rsidR="00C60C74">
        <w:rPr>
          <w:rFonts w:eastAsia="Calibri"/>
        </w:rPr>
        <w:t xml:space="preserve">section </w:t>
      </w:r>
      <w:r w:rsidRPr="003E75C5">
        <w:rPr>
          <w:rFonts w:eastAsia="Calibri"/>
        </w:rPr>
        <w:t>1-617.08(a) or other provisions of the Comprehensive Merit Personnel Act (CMPA) are negotiable.</w:t>
      </w:r>
      <w:r w:rsidRPr="003E75C5">
        <w:rPr>
          <w:rFonts w:eastAsia="Calibri"/>
          <w:vertAlign w:val="superscript"/>
        </w:rPr>
        <w:footnoteReference w:id="9"/>
      </w:r>
      <w:r w:rsidRPr="003E75C5">
        <w:rPr>
          <w:rFonts w:eastAsia="Calibri"/>
        </w:rPr>
        <w:t xml:space="preserve"> </w:t>
      </w:r>
      <w:r w:rsidR="00C60C74">
        <w:rPr>
          <w:rFonts w:eastAsia="Calibri"/>
        </w:rPr>
        <w:t>D.C. Official Code §</w:t>
      </w:r>
      <w:r w:rsidRPr="003E75C5">
        <w:rPr>
          <w:rFonts w:eastAsia="Calibri"/>
        </w:rPr>
        <w:t>1-617.08(b) provides that the right to negotiate over terms and conditions of employment extends to all matters except those that are proscribed by the CMPA.</w:t>
      </w:r>
      <w:r w:rsidRPr="003E75C5">
        <w:rPr>
          <w:rFonts w:eastAsia="Calibri"/>
          <w:vertAlign w:val="superscript"/>
        </w:rPr>
        <w:footnoteReference w:id="10"/>
      </w:r>
      <w:r w:rsidRPr="003E75C5">
        <w:rPr>
          <w:rFonts w:eastAsia="Calibri"/>
        </w:rPr>
        <w:t xml:space="preserve"> </w:t>
      </w:r>
    </w:p>
    <w:p w14:paraId="6910D986" w14:textId="77777777" w:rsidR="00141B4B" w:rsidRPr="003E75C5" w:rsidRDefault="00141B4B" w:rsidP="00141B4B">
      <w:pPr>
        <w:spacing w:after="0" w:line="240" w:lineRule="auto"/>
        <w:rPr>
          <w:rFonts w:eastAsia="Calibri"/>
        </w:rPr>
      </w:pPr>
    </w:p>
    <w:p w14:paraId="3F529102" w14:textId="5D270F86" w:rsidR="002C37D2" w:rsidRPr="003E75C5" w:rsidRDefault="00141B4B" w:rsidP="00141B4B">
      <w:pPr>
        <w:spacing w:after="0" w:line="240" w:lineRule="auto"/>
        <w:rPr>
          <w:rFonts w:eastAsia="Calibri"/>
        </w:rPr>
      </w:pPr>
      <w:r w:rsidRPr="003E75C5">
        <w:rPr>
          <w:rFonts w:eastAsia="Calibri"/>
        </w:rPr>
        <w:t>Pursuant to</w:t>
      </w:r>
      <w:r w:rsidR="00C60C74">
        <w:rPr>
          <w:rFonts w:eastAsia="Calibri"/>
        </w:rPr>
        <w:t xml:space="preserve"> D.C. Official Code</w:t>
      </w:r>
      <w:r w:rsidRPr="003E75C5">
        <w:rPr>
          <w:rFonts w:eastAsia="Calibri"/>
        </w:rPr>
        <w:t xml:space="preserve"> </w:t>
      </w:r>
      <w:r w:rsidR="000B310B">
        <w:rPr>
          <w:rFonts w:eastAsia="Calibri"/>
        </w:rPr>
        <w:t>§</w:t>
      </w:r>
      <w:r w:rsidRPr="003E75C5">
        <w:rPr>
          <w:rFonts w:eastAsia="Calibri"/>
        </w:rPr>
        <w:t>1-605.02(5), the Board is authorized to make a determination in disputed cases as to whether a matter is within the scope of collective bargaining. The Board’s jurisdiction to decide such questions is invoked by the party presenting a proposal that has been declared nonnegotiable by the party responding to the proposal.</w:t>
      </w:r>
      <w:r w:rsidRPr="003E75C5">
        <w:rPr>
          <w:rFonts w:eastAsia="Calibri"/>
          <w:vertAlign w:val="superscript"/>
        </w:rPr>
        <w:footnoteReference w:id="11"/>
      </w:r>
      <w:r w:rsidRPr="003E75C5">
        <w:rPr>
          <w:rFonts w:eastAsia="Calibri"/>
        </w:rPr>
        <w:t xml:space="preserve"> The Board will separately consider the negotiability of each of the matters in a dispute.</w:t>
      </w:r>
      <w:r w:rsidRPr="003E75C5">
        <w:rPr>
          <w:rFonts w:eastAsia="Calibri"/>
          <w:vertAlign w:val="superscript"/>
        </w:rPr>
        <w:footnoteReference w:id="12"/>
      </w:r>
      <w:r w:rsidRPr="003E75C5">
        <w:rPr>
          <w:rFonts w:eastAsia="Calibri"/>
        </w:rPr>
        <w:t xml:space="preserve"> Further, the Board has adopted the Federal Labor Relations Authority’s practice of requiring the appealing </w:t>
      </w:r>
      <w:r w:rsidRPr="003E75C5">
        <w:rPr>
          <w:rFonts w:eastAsia="Calibri"/>
        </w:rPr>
        <w:lastRenderedPageBreak/>
        <w:t>party to request severance of a proposal.</w:t>
      </w:r>
      <w:r w:rsidRPr="003E75C5">
        <w:rPr>
          <w:rStyle w:val="FootnoteReference"/>
          <w:rFonts w:eastAsia="Calibri"/>
        </w:rPr>
        <w:footnoteReference w:id="13"/>
      </w:r>
      <w:r w:rsidRPr="003E75C5">
        <w:rPr>
          <w:rFonts w:eastAsia="Calibri"/>
        </w:rPr>
        <w:t xml:space="preserve"> Here, the Union has not requested severance and the Board will consider the negotiability of each proposal as written.</w:t>
      </w:r>
      <w:r w:rsidR="002C37D2" w:rsidRPr="003E75C5">
        <w:rPr>
          <w:rFonts w:eastAsia="Calibri"/>
        </w:rPr>
        <w:t xml:space="preserve">  </w:t>
      </w:r>
    </w:p>
    <w:p w14:paraId="645A48AC" w14:textId="76A2D44F" w:rsidR="001C287C" w:rsidRPr="003E75C5" w:rsidRDefault="001C287C" w:rsidP="002C37D2">
      <w:pPr>
        <w:spacing w:after="0" w:line="240" w:lineRule="auto"/>
        <w:rPr>
          <w:rFonts w:eastAsia="Calibri"/>
        </w:rPr>
      </w:pPr>
    </w:p>
    <w:p w14:paraId="400C20BA" w14:textId="77777777" w:rsidR="002C37D2" w:rsidRPr="003E75C5" w:rsidRDefault="002C37D2" w:rsidP="00C346BE">
      <w:pPr>
        <w:numPr>
          <w:ilvl w:val="0"/>
          <w:numId w:val="1"/>
        </w:numPr>
        <w:spacing w:line="256" w:lineRule="auto"/>
        <w:contextualSpacing/>
        <w:jc w:val="left"/>
        <w:rPr>
          <w:rFonts w:eastAsia="Calibri"/>
          <w:b/>
          <w:szCs w:val="24"/>
        </w:rPr>
      </w:pPr>
      <w:r w:rsidRPr="003E75C5">
        <w:rPr>
          <w:rFonts w:eastAsia="Calibri"/>
          <w:b/>
          <w:szCs w:val="24"/>
        </w:rPr>
        <w:t xml:space="preserve">Analysis </w:t>
      </w:r>
    </w:p>
    <w:p w14:paraId="44215134" w14:textId="77777777" w:rsidR="00BA0189" w:rsidRPr="003E75C5" w:rsidRDefault="00BA0189" w:rsidP="002C37D2">
      <w:pPr>
        <w:spacing w:after="0" w:line="240" w:lineRule="auto"/>
        <w:rPr>
          <w:rFonts w:eastAsia="Calibri"/>
        </w:rPr>
      </w:pPr>
    </w:p>
    <w:p w14:paraId="47FAD515" w14:textId="14CBC898" w:rsidR="004B34C8" w:rsidRDefault="002C37D2" w:rsidP="004B34C8">
      <w:pPr>
        <w:spacing w:after="0" w:line="240" w:lineRule="auto"/>
        <w:rPr>
          <w:rFonts w:eastAsia="Calibri"/>
        </w:rPr>
      </w:pPr>
      <w:r w:rsidRPr="003E75C5">
        <w:rPr>
          <w:rFonts w:eastAsia="Calibri"/>
        </w:rPr>
        <w:t xml:space="preserve">There are </w:t>
      </w:r>
      <w:r w:rsidR="00534343">
        <w:rPr>
          <w:rFonts w:eastAsia="Calibri"/>
        </w:rPr>
        <w:t>four</w:t>
      </w:r>
      <w:r w:rsidRPr="003E75C5">
        <w:rPr>
          <w:rFonts w:eastAsia="Calibri"/>
        </w:rPr>
        <w:t xml:space="preserve"> </w:t>
      </w:r>
      <w:r w:rsidR="00D14358">
        <w:rPr>
          <w:rFonts w:eastAsia="Calibri"/>
        </w:rPr>
        <w:t xml:space="preserve">Union </w:t>
      </w:r>
      <w:r w:rsidRPr="003E75C5">
        <w:rPr>
          <w:rFonts w:eastAsia="Calibri"/>
        </w:rPr>
        <w:t xml:space="preserve">proposals that </w:t>
      </w:r>
      <w:r w:rsidR="00BA0189" w:rsidRPr="003E75C5">
        <w:rPr>
          <w:rFonts w:eastAsia="Calibri"/>
        </w:rPr>
        <w:t>the Agency</w:t>
      </w:r>
      <w:r w:rsidRPr="003E75C5">
        <w:rPr>
          <w:rFonts w:eastAsia="Calibri"/>
        </w:rPr>
        <w:t xml:space="preserve"> has identified as nonnegotiable subjects of bargaining</w:t>
      </w:r>
      <w:r w:rsidR="00FE1574">
        <w:rPr>
          <w:rFonts w:eastAsia="Calibri"/>
        </w:rPr>
        <w:t xml:space="preserve">. They are </w:t>
      </w:r>
      <w:r w:rsidRPr="003E75C5">
        <w:rPr>
          <w:rFonts w:eastAsia="Calibri"/>
        </w:rPr>
        <w:t xml:space="preserve">set forth below. </w:t>
      </w:r>
    </w:p>
    <w:p w14:paraId="3AECF1FB" w14:textId="62EB57AF" w:rsidR="00534343" w:rsidRDefault="00534343" w:rsidP="004B34C8">
      <w:pPr>
        <w:spacing w:after="0" w:line="240" w:lineRule="auto"/>
        <w:rPr>
          <w:rFonts w:eastAsia="Calibri"/>
        </w:rPr>
      </w:pPr>
    </w:p>
    <w:p w14:paraId="19ACB877" w14:textId="77777777" w:rsidR="002C4E60" w:rsidRPr="003E75C5" w:rsidRDefault="002C4E60" w:rsidP="002C4E60">
      <w:pPr>
        <w:spacing w:after="0" w:line="240" w:lineRule="auto"/>
        <w:rPr>
          <w:rFonts w:eastAsia="Calibri"/>
          <w:b/>
          <w:bCs/>
          <w:u w:val="single"/>
        </w:rPr>
      </w:pPr>
      <w:r w:rsidRPr="003E75C5">
        <w:rPr>
          <w:rFonts w:eastAsia="Calibri"/>
          <w:b/>
          <w:bCs/>
          <w:u w:val="single"/>
        </w:rPr>
        <w:t>Proposal # 1- Paragraph 2</w:t>
      </w:r>
    </w:p>
    <w:p w14:paraId="6AFA55AB" w14:textId="77777777" w:rsidR="00BB4D50" w:rsidRPr="003E75C5" w:rsidRDefault="00BB4D50" w:rsidP="00BB4D50">
      <w:pPr>
        <w:spacing w:after="0" w:line="240" w:lineRule="auto"/>
        <w:ind w:left="720" w:right="720" w:firstLine="0"/>
        <w:rPr>
          <w:rFonts w:eastAsia="Calibri"/>
          <w:u w:val="single"/>
        </w:rPr>
      </w:pPr>
    </w:p>
    <w:p w14:paraId="20B56E85" w14:textId="77777777" w:rsidR="00BB4D50" w:rsidRPr="003E75C5" w:rsidRDefault="00BB4D50" w:rsidP="00BB4D50">
      <w:pPr>
        <w:spacing w:after="0" w:line="240" w:lineRule="auto"/>
        <w:ind w:left="720" w:right="720" w:firstLine="0"/>
      </w:pPr>
      <w:r w:rsidRPr="003E75C5">
        <w:t xml:space="preserve">2. </w:t>
      </w:r>
      <w:r w:rsidRPr="003E75C5">
        <w:tab/>
        <w:t>The District and the Union agree for all matters governing drug and alcohol testing under suitability for bargaining unit positions, wherever a District regulation is in conflict with the provisions of the current collective bargaining agreement, the collective bargaining agreement shall govern.</w:t>
      </w:r>
    </w:p>
    <w:p w14:paraId="6B5D9F48" w14:textId="77777777" w:rsidR="00BB4D50" w:rsidRPr="003E75C5" w:rsidRDefault="00BB4D50" w:rsidP="00BB4D50">
      <w:pPr>
        <w:spacing w:after="0" w:line="240" w:lineRule="auto"/>
        <w:ind w:left="720" w:right="720" w:firstLine="0"/>
      </w:pPr>
    </w:p>
    <w:p w14:paraId="01B48B7D" w14:textId="77777777" w:rsidR="00BB4D50" w:rsidRPr="003E75C5" w:rsidRDefault="00BB4D50" w:rsidP="00BB4D50">
      <w:pPr>
        <w:pStyle w:val="ListParagraph"/>
        <w:numPr>
          <w:ilvl w:val="0"/>
          <w:numId w:val="3"/>
        </w:numPr>
        <w:spacing w:after="0" w:line="240" w:lineRule="auto"/>
        <w:rPr>
          <w:rFonts w:eastAsia="Calibri"/>
          <w:b/>
          <w:bCs/>
          <w:u w:val="single"/>
        </w:rPr>
      </w:pPr>
      <w:r w:rsidRPr="003E75C5">
        <w:rPr>
          <w:rFonts w:eastAsia="Calibri"/>
          <w:b/>
          <w:bCs/>
          <w:u w:val="single"/>
        </w:rPr>
        <w:t>Agency Position</w:t>
      </w:r>
    </w:p>
    <w:p w14:paraId="0657F77B" w14:textId="77777777" w:rsidR="00BB4D50" w:rsidRPr="003E75C5" w:rsidRDefault="00BB4D50" w:rsidP="00BB4D50">
      <w:pPr>
        <w:spacing w:after="0" w:line="240" w:lineRule="auto"/>
        <w:ind w:firstLine="0"/>
        <w:rPr>
          <w:rFonts w:eastAsia="Calibri"/>
          <w:u w:val="single"/>
        </w:rPr>
      </w:pPr>
    </w:p>
    <w:p w14:paraId="77BDDE95" w14:textId="36997F91" w:rsidR="00BB4D50" w:rsidRPr="003E75C5" w:rsidRDefault="00BB4D50" w:rsidP="00BB4D50">
      <w:pPr>
        <w:spacing w:after="0" w:line="240" w:lineRule="auto"/>
        <w:ind w:firstLine="0"/>
        <w:rPr>
          <w:rFonts w:eastAsia="Calibri"/>
        </w:rPr>
      </w:pPr>
      <w:r w:rsidRPr="003E75C5">
        <w:rPr>
          <w:rFonts w:eastAsia="Calibri"/>
        </w:rPr>
        <w:tab/>
        <w:t xml:space="preserve"> The Agency argues that the proposal exceeds the scope </w:t>
      </w:r>
      <w:r w:rsidRPr="003E75C5">
        <w:t>of impact and effects negotiations because the Union’s proposal refers to the collective bargaining agreement (CBA) as governing conflicts between the CBA and regulations for employees subject to drug and alcohol testing.</w:t>
      </w:r>
      <w:r w:rsidRPr="003E75C5">
        <w:rPr>
          <w:rStyle w:val="FootnoteReference"/>
        </w:rPr>
        <w:footnoteReference w:id="14"/>
      </w:r>
      <w:r w:rsidRPr="003E75C5">
        <w:t xml:space="preserve"> The Agency asserts that there is no change to the regulations that would cause </w:t>
      </w:r>
      <w:r w:rsidR="002939B3">
        <w:t xml:space="preserve">a </w:t>
      </w:r>
      <w:r w:rsidRPr="003E75C5">
        <w:t>conflict and that “Chapter 4 of the District Personnel Manual is limited to consequences for a positive test result for cannabis only.”</w:t>
      </w:r>
      <w:r w:rsidRPr="003E75C5">
        <w:rPr>
          <w:rStyle w:val="FootnoteReference"/>
        </w:rPr>
        <w:footnoteReference w:id="15"/>
      </w:r>
      <w:r w:rsidRPr="003E75C5">
        <w:t xml:space="preserve"> The Agency contends that impact and effects bargaining should be about proposed changes.</w:t>
      </w:r>
      <w:r w:rsidRPr="003E75C5">
        <w:rPr>
          <w:rStyle w:val="FootnoteReference"/>
        </w:rPr>
        <w:footnoteReference w:id="16"/>
      </w:r>
    </w:p>
    <w:p w14:paraId="4A10F41A" w14:textId="77777777" w:rsidR="00BB4D50" w:rsidRPr="003E75C5" w:rsidRDefault="00BB4D50" w:rsidP="00BB4D50">
      <w:pPr>
        <w:spacing w:after="0" w:line="240" w:lineRule="auto"/>
        <w:jc w:val="left"/>
        <w:rPr>
          <w:rFonts w:eastAsia="Calibri"/>
        </w:rPr>
      </w:pPr>
    </w:p>
    <w:p w14:paraId="07716F6D" w14:textId="77777777" w:rsidR="00BB4D50" w:rsidRPr="003E75C5" w:rsidRDefault="00BB4D50" w:rsidP="00BB4D50">
      <w:pPr>
        <w:pStyle w:val="ListParagraph"/>
        <w:numPr>
          <w:ilvl w:val="0"/>
          <w:numId w:val="3"/>
        </w:numPr>
        <w:tabs>
          <w:tab w:val="left" w:pos="1725"/>
        </w:tabs>
        <w:spacing w:after="0" w:line="240" w:lineRule="auto"/>
        <w:rPr>
          <w:rFonts w:eastAsia="Calibri"/>
          <w:b/>
          <w:bCs/>
          <w:u w:val="single"/>
        </w:rPr>
      </w:pPr>
      <w:r w:rsidRPr="003E75C5">
        <w:rPr>
          <w:rFonts w:eastAsia="Calibri"/>
          <w:b/>
          <w:bCs/>
          <w:u w:val="single"/>
        </w:rPr>
        <w:t>Union Position</w:t>
      </w:r>
    </w:p>
    <w:p w14:paraId="25CC643E" w14:textId="77777777" w:rsidR="00BB4D50" w:rsidRPr="003E75C5" w:rsidRDefault="00BB4D50" w:rsidP="00BB4D50">
      <w:pPr>
        <w:spacing w:after="0" w:line="240" w:lineRule="auto"/>
        <w:ind w:firstLine="0"/>
        <w:jc w:val="left"/>
        <w:rPr>
          <w:rFonts w:eastAsia="Calibri"/>
        </w:rPr>
      </w:pPr>
    </w:p>
    <w:p w14:paraId="2D2E687B" w14:textId="77777777" w:rsidR="00BB4D50" w:rsidRPr="003E75C5" w:rsidRDefault="00BB4D50" w:rsidP="00BB4D50">
      <w:pPr>
        <w:spacing w:after="0" w:line="240" w:lineRule="auto"/>
        <w:ind w:firstLine="0"/>
        <w:rPr>
          <w:rFonts w:eastAsia="Calibri"/>
        </w:rPr>
      </w:pPr>
      <w:r w:rsidRPr="003E75C5">
        <w:rPr>
          <w:rFonts w:eastAsia="Calibri"/>
        </w:rPr>
        <w:tab/>
        <w:t>The Union argues that paragraph 2 does not fall within the matters excluded from bargaining as management rights.</w:t>
      </w:r>
      <w:r w:rsidRPr="003E75C5">
        <w:rPr>
          <w:rStyle w:val="FootnoteReference"/>
          <w:rFonts w:eastAsia="Calibri"/>
        </w:rPr>
        <w:footnoteReference w:id="17"/>
      </w:r>
    </w:p>
    <w:p w14:paraId="686AF4DF" w14:textId="77777777" w:rsidR="00BB4D50" w:rsidRPr="003E75C5" w:rsidRDefault="00BB4D50" w:rsidP="00BB4D50">
      <w:pPr>
        <w:spacing w:after="0" w:line="240" w:lineRule="auto"/>
        <w:ind w:firstLine="0"/>
      </w:pPr>
    </w:p>
    <w:p w14:paraId="6A410612" w14:textId="77777777" w:rsidR="00BB4D50" w:rsidRPr="003E75C5" w:rsidRDefault="00BB4D50" w:rsidP="00BB4D50">
      <w:pPr>
        <w:pStyle w:val="ListParagraph"/>
        <w:numPr>
          <w:ilvl w:val="0"/>
          <w:numId w:val="3"/>
        </w:numPr>
        <w:spacing w:after="0" w:line="240" w:lineRule="auto"/>
        <w:rPr>
          <w:b/>
          <w:bCs/>
          <w:u w:val="single"/>
        </w:rPr>
      </w:pPr>
      <w:r w:rsidRPr="003E75C5">
        <w:rPr>
          <w:b/>
          <w:bCs/>
          <w:u w:val="single"/>
        </w:rPr>
        <w:t>Board’s Finding</w:t>
      </w:r>
    </w:p>
    <w:p w14:paraId="5B92D26E" w14:textId="77777777" w:rsidR="00BB4D50" w:rsidRPr="003E75C5" w:rsidRDefault="00BB4D50" w:rsidP="00BB4D50">
      <w:pPr>
        <w:spacing w:after="0" w:line="240" w:lineRule="auto"/>
        <w:ind w:left="720" w:firstLine="0"/>
        <w:rPr>
          <w:u w:val="single"/>
        </w:rPr>
      </w:pPr>
    </w:p>
    <w:p w14:paraId="494C46F0" w14:textId="785C4E7E" w:rsidR="00BB4D50" w:rsidRPr="003E75C5" w:rsidRDefault="00BB4D50" w:rsidP="00D8417D">
      <w:pPr>
        <w:spacing w:after="0" w:line="240" w:lineRule="auto"/>
        <w:rPr>
          <w:u w:val="single"/>
        </w:rPr>
      </w:pPr>
      <w:r w:rsidRPr="003E75C5">
        <w:t>Paragraph 2 is negotiable.</w:t>
      </w:r>
      <w:r w:rsidR="00D8417D" w:rsidRPr="003E75C5">
        <w:t xml:space="preserve"> </w:t>
      </w:r>
      <w:r w:rsidR="00D8417D">
        <w:t>The CMPA makes it clear that all subjects are negotiable unless proscribed by law.</w:t>
      </w:r>
      <w:r w:rsidR="00D8417D">
        <w:rPr>
          <w:rStyle w:val="FootnoteReference"/>
        </w:rPr>
        <w:footnoteReference w:id="18"/>
      </w:r>
      <w:r w:rsidR="00D8417D">
        <w:t xml:space="preserve">  Here, the Agency asserts that the provision is not relevant to the proposed regulatory changes and</w:t>
      </w:r>
      <w:r w:rsidR="008366EE">
        <w:t>,</w:t>
      </w:r>
      <w:r w:rsidR="00D8417D">
        <w:t xml:space="preserve"> therefore</w:t>
      </w:r>
      <w:r w:rsidR="00F31E4D">
        <w:t>,</w:t>
      </w:r>
      <w:r w:rsidR="00D8417D">
        <w:t xml:space="preserve"> outside the scope of bargaining.</w:t>
      </w:r>
      <w:r w:rsidR="00D8417D">
        <w:rPr>
          <w:rStyle w:val="FootnoteReference"/>
        </w:rPr>
        <w:footnoteReference w:id="19"/>
      </w:r>
      <w:r w:rsidR="00D8417D">
        <w:t xml:space="preserve"> The Board disagrees</w:t>
      </w:r>
      <w:r w:rsidR="00F31E4D">
        <w:t xml:space="preserve"> and finds that </w:t>
      </w:r>
      <w:r w:rsidR="00D8417D">
        <w:t xml:space="preserve">the proposed language addresses the types of regulatory changes </w:t>
      </w:r>
      <w:r w:rsidR="00844C7F">
        <w:lastRenderedPageBreak/>
        <w:t>currently being negotiated by the parties. Under the Board’s precedent,</w:t>
      </w:r>
      <w:r w:rsidR="00F15BB0">
        <w:t xml:space="preserve"> a</w:t>
      </w:r>
      <w:r w:rsidR="00844C7F">
        <w:t xml:space="preserve"> proposal that </w:t>
      </w:r>
      <w:r w:rsidR="00F15BB0">
        <w:t xml:space="preserve">permits a collective bargaining agreement to control in the event of a conflict with regulations </w:t>
      </w:r>
      <w:r w:rsidR="00EB5670">
        <w:t>is</w:t>
      </w:r>
      <w:r w:rsidR="00F15BB0">
        <w:t xml:space="preserve"> negotiable.</w:t>
      </w:r>
      <w:r w:rsidR="00F15BB0">
        <w:rPr>
          <w:rStyle w:val="FootnoteReference"/>
        </w:rPr>
        <w:footnoteReference w:id="20"/>
      </w:r>
      <w:r w:rsidR="00F15BB0">
        <w:t xml:space="preserve"> The Board found that</w:t>
      </w:r>
      <w:r w:rsidR="00B46565">
        <w:t xml:space="preserve"> “as a practical matter” many topics are negotiated by parties despite being covered by the District Personnel Manual.</w:t>
      </w:r>
      <w:r w:rsidR="00B46565" w:rsidRPr="00B46565">
        <w:rPr>
          <w:rStyle w:val="FootnoteReference"/>
        </w:rPr>
        <w:t xml:space="preserve"> </w:t>
      </w:r>
      <w:r w:rsidR="00B46565">
        <w:rPr>
          <w:rStyle w:val="FootnoteReference"/>
        </w:rPr>
        <w:footnoteReference w:id="21"/>
      </w:r>
      <w:r w:rsidR="00B46565">
        <w:t xml:space="preserve"> </w:t>
      </w:r>
      <w:r w:rsidR="00D14358">
        <w:t>In the event of a conflict, l</w:t>
      </w:r>
      <w:r w:rsidR="00B46565">
        <w:t>anguage</w:t>
      </w:r>
      <w:r w:rsidR="00D14358">
        <w:t xml:space="preserve"> that</w:t>
      </w:r>
      <w:r w:rsidR="00B46565">
        <w:t xml:space="preserve"> allows </w:t>
      </w:r>
      <w:r w:rsidR="00AD2542">
        <w:t>a</w:t>
      </w:r>
      <w:r w:rsidR="00B46565">
        <w:t xml:space="preserve"> collective bargaining agreement to control </w:t>
      </w:r>
      <w:r w:rsidR="00F15BB0">
        <w:t>protect</w:t>
      </w:r>
      <w:r w:rsidR="009D6447">
        <w:t>s</w:t>
      </w:r>
      <w:r w:rsidR="00F15BB0">
        <w:t xml:space="preserve"> employees’ ability to negotiate over subjects that are broadly covered in regulations.</w:t>
      </w:r>
      <w:r w:rsidR="00B46565">
        <w:rPr>
          <w:rStyle w:val="FootnoteReference"/>
        </w:rPr>
        <w:footnoteReference w:id="22"/>
      </w:r>
      <w:r w:rsidR="00B46565">
        <w:t xml:space="preserve"> Therefore, the proposal does not infringe on any management right and is negotiable.</w:t>
      </w:r>
      <w:r w:rsidR="0078561E">
        <w:rPr>
          <w:rStyle w:val="FootnoteReference"/>
        </w:rPr>
        <w:footnoteReference w:id="23"/>
      </w:r>
    </w:p>
    <w:p w14:paraId="7E13B5E1" w14:textId="77777777" w:rsidR="004317BB" w:rsidRPr="003E75C5" w:rsidRDefault="004317BB" w:rsidP="001463C2">
      <w:pPr>
        <w:spacing w:after="0" w:line="240" w:lineRule="auto"/>
        <w:ind w:firstLine="0"/>
        <w:rPr>
          <w:u w:val="single"/>
        </w:rPr>
      </w:pPr>
    </w:p>
    <w:p w14:paraId="64652A21" w14:textId="7AB99677" w:rsidR="00DB701F" w:rsidRPr="003E75C5" w:rsidRDefault="00DB701F" w:rsidP="00035119">
      <w:pPr>
        <w:spacing w:after="0" w:line="240" w:lineRule="auto"/>
        <w:rPr>
          <w:b/>
          <w:bCs/>
          <w:u w:val="single"/>
        </w:rPr>
      </w:pPr>
      <w:r w:rsidRPr="003E75C5">
        <w:rPr>
          <w:b/>
          <w:bCs/>
          <w:u w:val="single"/>
        </w:rPr>
        <w:t>Proposal #</w:t>
      </w:r>
      <w:r w:rsidR="00A65069" w:rsidRPr="003E75C5">
        <w:rPr>
          <w:b/>
          <w:bCs/>
          <w:u w:val="single"/>
        </w:rPr>
        <w:t xml:space="preserve"> </w:t>
      </w:r>
      <w:r w:rsidR="00DD12C7" w:rsidRPr="003E75C5">
        <w:rPr>
          <w:b/>
          <w:bCs/>
          <w:u w:val="single"/>
        </w:rPr>
        <w:t>2</w:t>
      </w:r>
      <w:r w:rsidRPr="003E75C5">
        <w:rPr>
          <w:b/>
          <w:bCs/>
          <w:u w:val="single"/>
        </w:rPr>
        <w:t xml:space="preserve">- </w:t>
      </w:r>
      <w:r w:rsidR="00826D30" w:rsidRPr="003E75C5">
        <w:rPr>
          <w:b/>
          <w:bCs/>
          <w:u w:val="single"/>
        </w:rPr>
        <w:t>Paragraph 5</w:t>
      </w:r>
    </w:p>
    <w:p w14:paraId="2C9FA99B" w14:textId="2E76978E" w:rsidR="00DB701F" w:rsidRPr="003E75C5" w:rsidRDefault="00DB701F" w:rsidP="001463C2">
      <w:pPr>
        <w:spacing w:after="0" w:line="240" w:lineRule="auto"/>
        <w:ind w:firstLine="0"/>
        <w:rPr>
          <w:u w:val="single"/>
        </w:rPr>
      </w:pPr>
    </w:p>
    <w:p w14:paraId="41BFEAC3" w14:textId="62302224" w:rsidR="00DD12C7" w:rsidRPr="003E75C5" w:rsidRDefault="00826D30" w:rsidP="00DD12C7">
      <w:pPr>
        <w:spacing w:after="0" w:line="240" w:lineRule="auto"/>
        <w:ind w:left="720" w:right="720" w:firstLine="0"/>
      </w:pPr>
      <w:r w:rsidRPr="003E75C5">
        <w:t>5</w:t>
      </w:r>
      <w:r w:rsidR="00DD12C7" w:rsidRPr="003E75C5">
        <w:t>.</w:t>
      </w:r>
      <w:r w:rsidR="00DD12C7" w:rsidRPr="003E75C5">
        <w:tab/>
      </w:r>
      <w:r w:rsidRPr="003E75C5">
        <w:t>For drug and alcohol testing, the District shall bear the burden to prove impairment</w:t>
      </w:r>
      <w:r w:rsidR="00F10053" w:rsidRPr="003E75C5">
        <w:t>.</w:t>
      </w:r>
    </w:p>
    <w:p w14:paraId="0BC36D4B" w14:textId="77777777" w:rsidR="00DD12C7" w:rsidRPr="003E75C5" w:rsidRDefault="00DD12C7" w:rsidP="00DD12C7">
      <w:pPr>
        <w:spacing w:after="0" w:line="240" w:lineRule="auto"/>
        <w:ind w:left="720" w:right="720"/>
      </w:pPr>
    </w:p>
    <w:p w14:paraId="4BA2A1A0" w14:textId="4EAB4F42" w:rsidR="00780722" w:rsidRPr="003E75C5" w:rsidRDefault="00780722" w:rsidP="00A2107A">
      <w:pPr>
        <w:pStyle w:val="ListParagraph"/>
        <w:numPr>
          <w:ilvl w:val="0"/>
          <w:numId w:val="14"/>
        </w:numPr>
        <w:spacing w:after="0" w:line="240" w:lineRule="auto"/>
        <w:rPr>
          <w:b/>
          <w:bCs/>
          <w:u w:val="single"/>
        </w:rPr>
      </w:pPr>
      <w:r w:rsidRPr="003E75C5">
        <w:rPr>
          <w:b/>
          <w:bCs/>
          <w:u w:val="single"/>
        </w:rPr>
        <w:t>Board’s Findings</w:t>
      </w:r>
    </w:p>
    <w:p w14:paraId="6D4EB874" w14:textId="77777777" w:rsidR="00F101A4" w:rsidRPr="003E75C5" w:rsidRDefault="00780722" w:rsidP="00F101A4">
      <w:pPr>
        <w:spacing w:after="0" w:line="240" w:lineRule="auto"/>
      </w:pPr>
      <w:r w:rsidRPr="003E75C5">
        <w:tab/>
      </w:r>
    </w:p>
    <w:p w14:paraId="398A32C7" w14:textId="2E709CB3" w:rsidR="00ED024B" w:rsidRPr="003E75C5" w:rsidRDefault="00D8417D" w:rsidP="005918AD">
      <w:pPr>
        <w:spacing w:after="0" w:line="240" w:lineRule="auto"/>
      </w:pPr>
      <w:r w:rsidRPr="003E75C5">
        <w:t xml:space="preserve">Paragraph </w:t>
      </w:r>
      <w:r>
        <w:t>5</w:t>
      </w:r>
      <w:r w:rsidRPr="003E75C5">
        <w:t xml:space="preserve"> is not properly before the Board. </w:t>
      </w:r>
      <w:r>
        <w:t xml:space="preserve">On May 13, 2021, the Union offered the Agency a </w:t>
      </w:r>
      <w:r w:rsidR="00710AF9">
        <w:t xml:space="preserve">revised </w:t>
      </w:r>
      <w:r>
        <w:t>proposal</w:t>
      </w:r>
      <w:r w:rsidR="00AE36AA">
        <w:t xml:space="preserve">, which </w:t>
      </w:r>
      <w:r w:rsidR="00B0051F">
        <w:t>substantively changed</w:t>
      </w:r>
      <w:r w:rsidR="00AE36AA">
        <w:t xml:space="preserve"> the language </w:t>
      </w:r>
      <w:r w:rsidR="00B0051F">
        <w:t>and meaning</w:t>
      </w:r>
      <w:r w:rsidR="00D521F7">
        <w:t xml:space="preserve"> </w:t>
      </w:r>
      <w:r w:rsidR="00AE36AA">
        <w:t>found</w:t>
      </w:r>
      <w:r>
        <w:t xml:space="preserve"> </w:t>
      </w:r>
      <w:r w:rsidR="00AE36AA">
        <w:t>in</w:t>
      </w:r>
      <w:r>
        <w:t xml:space="preserve"> the</w:t>
      </w:r>
      <w:r w:rsidR="00215B94">
        <w:t xml:space="preserve"> Union’</w:t>
      </w:r>
      <w:r w:rsidR="00FF0F0B">
        <w:t>s</w:t>
      </w:r>
      <w:r>
        <w:t xml:space="preserve"> </w:t>
      </w:r>
      <w:r w:rsidR="0095097F">
        <w:t>Proposal #2</w:t>
      </w:r>
      <w:r>
        <w:t>.</w:t>
      </w:r>
      <w:r>
        <w:rPr>
          <w:rStyle w:val="FootnoteReference"/>
        </w:rPr>
        <w:footnoteReference w:id="24"/>
      </w:r>
      <w:r w:rsidR="007C425A">
        <w:t xml:space="preserve"> </w:t>
      </w:r>
      <w:r w:rsidRPr="003E75C5">
        <w:t>The Union</w:t>
      </w:r>
      <w:r>
        <w:t xml:space="preserve">’s </w:t>
      </w:r>
      <w:r w:rsidR="00710AF9">
        <w:t>rev</w:t>
      </w:r>
      <w:r w:rsidR="00F84F15">
        <w:t>ision</w:t>
      </w:r>
      <w:r>
        <w:t xml:space="preserve"> revokes </w:t>
      </w:r>
      <w:r w:rsidR="00F84F15">
        <w:t>the proposal</w:t>
      </w:r>
      <w:r w:rsidR="007C425A">
        <w:rPr>
          <w:rStyle w:val="FootnoteReference"/>
        </w:rPr>
        <w:footnoteReference w:id="25"/>
      </w:r>
      <w:r w:rsidR="007C425A">
        <w:t xml:space="preserve"> </w:t>
      </w:r>
      <w:r w:rsidR="004F3790">
        <w:t xml:space="preserve">that is the </w:t>
      </w:r>
      <w:r w:rsidR="0095097F">
        <w:t xml:space="preserve">subject of the </w:t>
      </w:r>
      <w:r w:rsidR="004F3790">
        <w:t>Appeal</w:t>
      </w:r>
      <w:r w:rsidRPr="003E75C5">
        <w:t>.</w:t>
      </w:r>
      <w:r w:rsidRPr="003E75C5">
        <w:rPr>
          <w:rStyle w:val="FootnoteReference"/>
        </w:rPr>
        <w:footnoteReference w:id="26"/>
      </w:r>
      <w:r w:rsidR="007C425A">
        <w:t xml:space="preserve"> </w:t>
      </w:r>
      <w:r w:rsidR="000B310B">
        <w:t>In the absence of a</w:t>
      </w:r>
      <w:r w:rsidR="000B310B" w:rsidRPr="003E75C5">
        <w:t xml:space="preserve"> controversy over </w:t>
      </w:r>
      <w:r w:rsidR="000B310B">
        <w:t>Proposal #2, the Union’s negotiability appeal is dismissed as moot.</w:t>
      </w:r>
      <w:r w:rsidR="00ED024B" w:rsidRPr="003E75C5">
        <w:rPr>
          <w:rStyle w:val="FootnoteReference"/>
        </w:rPr>
        <w:footnoteReference w:id="27"/>
      </w:r>
      <w:r w:rsidR="00ED024B" w:rsidRPr="003E75C5">
        <w:t xml:space="preserve"> </w:t>
      </w:r>
    </w:p>
    <w:p w14:paraId="3214B2C2" w14:textId="5F1A8994" w:rsidR="0030289E" w:rsidRPr="003E75C5" w:rsidRDefault="0030289E" w:rsidP="00780722">
      <w:pPr>
        <w:spacing w:after="0" w:line="240" w:lineRule="auto"/>
        <w:ind w:firstLine="0"/>
      </w:pPr>
    </w:p>
    <w:p w14:paraId="181CC916" w14:textId="1802C86C" w:rsidR="0030289E" w:rsidRPr="003E75C5" w:rsidRDefault="0030289E" w:rsidP="0073356F">
      <w:pPr>
        <w:spacing w:after="0" w:line="240" w:lineRule="auto"/>
        <w:rPr>
          <w:b/>
          <w:bCs/>
          <w:u w:val="single"/>
        </w:rPr>
      </w:pPr>
      <w:r w:rsidRPr="003E75C5">
        <w:rPr>
          <w:b/>
          <w:bCs/>
          <w:u w:val="single"/>
        </w:rPr>
        <w:t xml:space="preserve">Proposal # </w:t>
      </w:r>
      <w:r w:rsidR="00007E5D" w:rsidRPr="003E75C5">
        <w:rPr>
          <w:b/>
          <w:bCs/>
          <w:u w:val="single"/>
        </w:rPr>
        <w:t>3</w:t>
      </w:r>
      <w:r w:rsidR="00826D30" w:rsidRPr="003E75C5">
        <w:rPr>
          <w:b/>
          <w:bCs/>
          <w:u w:val="single"/>
        </w:rPr>
        <w:t>- Paragraph 6</w:t>
      </w:r>
    </w:p>
    <w:p w14:paraId="2B1E0C7B" w14:textId="15A9FD76" w:rsidR="00403FB7" w:rsidRPr="003E75C5" w:rsidRDefault="00403FB7" w:rsidP="00D80149">
      <w:pPr>
        <w:spacing w:after="0" w:line="240" w:lineRule="auto"/>
        <w:ind w:left="720" w:firstLine="0"/>
        <w:rPr>
          <w:u w:val="single"/>
        </w:rPr>
      </w:pPr>
    </w:p>
    <w:p w14:paraId="13FB4463" w14:textId="329F7A93" w:rsidR="00403FB7" w:rsidRPr="003E75C5" w:rsidRDefault="00826D30" w:rsidP="00826D30">
      <w:pPr>
        <w:spacing w:after="0" w:line="240" w:lineRule="auto"/>
        <w:ind w:left="720" w:right="720" w:firstLine="0"/>
      </w:pPr>
      <w:r w:rsidRPr="003E75C5">
        <w:t>6.</w:t>
      </w:r>
      <w:r w:rsidRPr="003E75C5">
        <w:tab/>
        <w:t>The District agrees an employee, who has a registered marijuana card and a prescription for marijuana use, who is required to be tested for drugs or any other employee, may request a blood test, at the employee</w:t>
      </w:r>
      <w:r w:rsidR="00E874DC" w:rsidRPr="003E75C5">
        <w:t>’</w:t>
      </w:r>
      <w:r w:rsidRPr="003E75C5">
        <w:t>s expense to determine the content of marijuana in the employee</w:t>
      </w:r>
      <w:r w:rsidR="00530F36" w:rsidRPr="003E75C5">
        <w:t>’</w:t>
      </w:r>
      <w:r w:rsidRPr="003E75C5">
        <w:t>s system, at the time of the drug test</w:t>
      </w:r>
      <w:r w:rsidR="00007E5D" w:rsidRPr="003E75C5">
        <w:t>.</w:t>
      </w:r>
    </w:p>
    <w:p w14:paraId="3C449E05" w14:textId="77777777" w:rsidR="005109C3" w:rsidRPr="003E75C5" w:rsidRDefault="005109C3" w:rsidP="005109C3">
      <w:pPr>
        <w:spacing w:after="0" w:line="240" w:lineRule="auto"/>
        <w:ind w:left="720" w:right="720"/>
      </w:pPr>
    </w:p>
    <w:p w14:paraId="670ECB40" w14:textId="25A112AA" w:rsidR="009104F7" w:rsidRPr="003E75C5" w:rsidRDefault="009104F7" w:rsidP="0073356F">
      <w:pPr>
        <w:pStyle w:val="ListParagraph"/>
        <w:numPr>
          <w:ilvl w:val="0"/>
          <w:numId w:val="6"/>
        </w:numPr>
        <w:spacing w:after="0" w:line="240" w:lineRule="auto"/>
        <w:rPr>
          <w:b/>
          <w:bCs/>
          <w:u w:val="single"/>
        </w:rPr>
      </w:pPr>
      <w:r w:rsidRPr="003E75C5">
        <w:rPr>
          <w:b/>
          <w:bCs/>
          <w:u w:val="single"/>
        </w:rPr>
        <w:t>Agency Position</w:t>
      </w:r>
    </w:p>
    <w:p w14:paraId="3D983735" w14:textId="77777777" w:rsidR="009104F7" w:rsidRPr="003E75C5" w:rsidRDefault="009104F7" w:rsidP="009104F7">
      <w:pPr>
        <w:spacing w:after="0" w:line="240" w:lineRule="auto"/>
        <w:ind w:firstLine="0"/>
      </w:pPr>
      <w:r w:rsidRPr="003E75C5">
        <w:tab/>
      </w:r>
    </w:p>
    <w:p w14:paraId="138AC7BF" w14:textId="6DAD8D7A" w:rsidR="009104F7" w:rsidRDefault="009104F7" w:rsidP="009104F7">
      <w:pPr>
        <w:spacing w:after="0" w:line="240" w:lineRule="auto"/>
        <w:ind w:firstLine="0"/>
      </w:pPr>
      <w:r w:rsidRPr="003E75C5">
        <w:tab/>
        <w:t xml:space="preserve">The Agency argues </w:t>
      </w:r>
      <w:r w:rsidR="00A53BD7" w:rsidRPr="003E75C5">
        <w:t xml:space="preserve">paragraph 6 </w:t>
      </w:r>
      <w:r w:rsidR="001C7DA3" w:rsidRPr="003E75C5">
        <w:t>interferes</w:t>
      </w:r>
      <w:r w:rsidR="00A53BD7" w:rsidRPr="003E75C5">
        <w:t xml:space="preserve"> with management’s right to determine internal security procedures and conflict</w:t>
      </w:r>
      <w:r w:rsidR="00AA1233" w:rsidRPr="003E75C5">
        <w:t>s</w:t>
      </w:r>
      <w:r w:rsidR="00A53BD7" w:rsidRPr="003E75C5">
        <w:t xml:space="preserve"> with Mayor’s Order 2019-081</w:t>
      </w:r>
      <w:r w:rsidR="007472F3" w:rsidRPr="003E75C5">
        <w:t>.</w:t>
      </w:r>
      <w:r w:rsidR="006F5CD2" w:rsidRPr="003E75C5">
        <w:rPr>
          <w:rStyle w:val="FootnoteReference"/>
        </w:rPr>
        <w:footnoteReference w:id="28"/>
      </w:r>
      <w:r w:rsidRPr="003E75C5">
        <w:t xml:space="preserve"> </w:t>
      </w:r>
    </w:p>
    <w:p w14:paraId="36197862" w14:textId="0A2C1335" w:rsidR="006B5146" w:rsidRDefault="006B5146" w:rsidP="009104F7">
      <w:pPr>
        <w:spacing w:after="0" w:line="240" w:lineRule="auto"/>
        <w:ind w:firstLine="0"/>
      </w:pPr>
    </w:p>
    <w:p w14:paraId="57E9964B" w14:textId="77777777" w:rsidR="006B5146" w:rsidRDefault="006B5146" w:rsidP="009104F7">
      <w:pPr>
        <w:spacing w:after="0" w:line="240" w:lineRule="auto"/>
        <w:ind w:firstLine="0"/>
      </w:pPr>
    </w:p>
    <w:p w14:paraId="5E894D28" w14:textId="68502B90" w:rsidR="00403FB7" w:rsidRPr="003E75C5" w:rsidRDefault="00403FB7" w:rsidP="0073356F">
      <w:pPr>
        <w:pStyle w:val="ListParagraph"/>
        <w:numPr>
          <w:ilvl w:val="0"/>
          <w:numId w:val="6"/>
        </w:numPr>
        <w:spacing w:after="0" w:line="240" w:lineRule="auto"/>
        <w:rPr>
          <w:b/>
          <w:bCs/>
          <w:u w:val="single"/>
        </w:rPr>
      </w:pPr>
      <w:r w:rsidRPr="003E75C5">
        <w:rPr>
          <w:b/>
          <w:bCs/>
          <w:u w:val="single"/>
        </w:rPr>
        <w:lastRenderedPageBreak/>
        <w:t>Union Position</w:t>
      </w:r>
    </w:p>
    <w:p w14:paraId="2ACCF555" w14:textId="1CA7455F" w:rsidR="00403FB7" w:rsidRPr="003E75C5" w:rsidRDefault="00403FB7" w:rsidP="00403FB7">
      <w:pPr>
        <w:spacing w:after="0" w:line="240" w:lineRule="auto"/>
        <w:ind w:firstLine="0"/>
        <w:rPr>
          <w:u w:val="single"/>
        </w:rPr>
      </w:pPr>
    </w:p>
    <w:p w14:paraId="215105BC" w14:textId="0018EB36" w:rsidR="006F5CD2" w:rsidRPr="003E75C5" w:rsidRDefault="005B5ECD" w:rsidP="00403FB7">
      <w:pPr>
        <w:spacing w:after="0" w:line="240" w:lineRule="auto"/>
        <w:ind w:firstLine="0"/>
      </w:pPr>
      <w:r w:rsidRPr="003E75C5">
        <w:tab/>
        <w:t xml:space="preserve">The Union asserts that the proposal </w:t>
      </w:r>
      <w:r w:rsidR="001C7DA3" w:rsidRPr="003E75C5">
        <w:t>creates a procedure for employees to receive</w:t>
      </w:r>
      <w:r w:rsidR="002479A1">
        <w:t xml:space="preserve"> a</w:t>
      </w:r>
      <w:r w:rsidR="001C7DA3" w:rsidRPr="003E75C5">
        <w:t xml:space="preserve"> blood test at the employee’s expense and does not interfere with any management right.</w:t>
      </w:r>
      <w:r w:rsidR="001C7DA3" w:rsidRPr="003E75C5">
        <w:rPr>
          <w:rStyle w:val="FootnoteReference"/>
        </w:rPr>
        <w:footnoteReference w:id="29"/>
      </w:r>
      <w:r w:rsidR="006F5CD2" w:rsidRPr="003E75C5">
        <w:t xml:space="preserve"> </w:t>
      </w:r>
    </w:p>
    <w:p w14:paraId="07C2B780" w14:textId="77777777" w:rsidR="006F5CD2" w:rsidRPr="003E75C5" w:rsidRDefault="006F5CD2" w:rsidP="005109C3">
      <w:pPr>
        <w:spacing w:after="0" w:line="240" w:lineRule="auto"/>
      </w:pPr>
    </w:p>
    <w:p w14:paraId="17909FA8" w14:textId="10D282B7" w:rsidR="00A67CE9" w:rsidRPr="003E75C5" w:rsidRDefault="00BF330B" w:rsidP="006F5CD2">
      <w:pPr>
        <w:pStyle w:val="ListParagraph"/>
        <w:numPr>
          <w:ilvl w:val="0"/>
          <w:numId w:val="6"/>
        </w:numPr>
        <w:spacing w:after="0" w:line="240" w:lineRule="auto"/>
        <w:rPr>
          <w:b/>
          <w:bCs/>
          <w:u w:val="single"/>
        </w:rPr>
      </w:pPr>
      <w:r w:rsidRPr="003E75C5">
        <w:rPr>
          <w:b/>
          <w:bCs/>
          <w:u w:val="single"/>
        </w:rPr>
        <w:t xml:space="preserve">Board’s Finding </w:t>
      </w:r>
    </w:p>
    <w:p w14:paraId="3A9AD066" w14:textId="60399E83" w:rsidR="00BF330B" w:rsidRPr="003E75C5" w:rsidRDefault="00BF330B" w:rsidP="00403FB7">
      <w:pPr>
        <w:spacing w:after="0" w:line="240" w:lineRule="auto"/>
        <w:ind w:firstLine="0"/>
        <w:rPr>
          <w:u w:val="single"/>
        </w:rPr>
      </w:pPr>
    </w:p>
    <w:p w14:paraId="78D9B9C2" w14:textId="180FA84A" w:rsidR="0015014E" w:rsidRPr="003E75C5" w:rsidRDefault="001C7DA3" w:rsidP="00BF330B">
      <w:pPr>
        <w:spacing w:after="0" w:line="240" w:lineRule="auto"/>
      </w:pPr>
      <w:r w:rsidRPr="003E75C5">
        <w:t xml:space="preserve">Paragraph 6 is </w:t>
      </w:r>
      <w:r w:rsidR="00BF330B" w:rsidRPr="003E75C5">
        <w:t>negotiable.</w:t>
      </w:r>
      <w:r w:rsidR="00892789" w:rsidRPr="003E75C5">
        <w:t xml:space="preserve"> Here, the proposal </w:t>
      </w:r>
      <w:r w:rsidR="000A4D9A">
        <w:t>is procedural. The proposal</w:t>
      </w:r>
      <w:r w:rsidRPr="003E75C5">
        <w:t xml:space="preserve"> provides the employee with the opportunity to request a blood test at the time of drug testing at the employee’s expense. </w:t>
      </w:r>
      <w:r w:rsidR="00854285" w:rsidRPr="003E75C5">
        <w:t xml:space="preserve">The proposal does not require the Agency to take any action in response to the request of the employee. Therefore, the proposal </w:t>
      </w:r>
      <w:r w:rsidR="00DF39B9">
        <w:t>does not infringe upon management’s right</w:t>
      </w:r>
      <w:r w:rsidR="005538FD">
        <w:t xml:space="preserve"> to determine internal security procedures and, as a result, </w:t>
      </w:r>
      <w:r w:rsidR="00854285" w:rsidRPr="003E75C5">
        <w:t xml:space="preserve">is negotiable. </w:t>
      </w:r>
    </w:p>
    <w:p w14:paraId="7A5CA674" w14:textId="77777777" w:rsidR="00AA1233" w:rsidRPr="003E75C5" w:rsidRDefault="00AA1233" w:rsidP="00BF330B">
      <w:pPr>
        <w:spacing w:after="0" w:line="240" w:lineRule="auto"/>
      </w:pPr>
    </w:p>
    <w:p w14:paraId="0BDA3826" w14:textId="22498E53" w:rsidR="0015014E" w:rsidRPr="003E75C5" w:rsidRDefault="0015014E" w:rsidP="00826D30">
      <w:pPr>
        <w:spacing w:after="0" w:line="240" w:lineRule="auto"/>
        <w:rPr>
          <w:b/>
          <w:bCs/>
          <w:u w:val="single"/>
        </w:rPr>
      </w:pPr>
      <w:r w:rsidRPr="003E75C5">
        <w:rPr>
          <w:b/>
          <w:bCs/>
          <w:u w:val="single"/>
        </w:rPr>
        <w:t>Proposal # 4</w:t>
      </w:r>
      <w:r w:rsidR="00826D30" w:rsidRPr="003E75C5">
        <w:rPr>
          <w:b/>
          <w:bCs/>
          <w:u w:val="single"/>
        </w:rPr>
        <w:t>- Paragraph 7</w:t>
      </w:r>
    </w:p>
    <w:p w14:paraId="7E67F91F" w14:textId="77777777" w:rsidR="0015014E" w:rsidRPr="003E75C5" w:rsidRDefault="0015014E" w:rsidP="0015014E">
      <w:pPr>
        <w:spacing w:after="0" w:line="240" w:lineRule="auto"/>
        <w:rPr>
          <w:u w:val="single"/>
        </w:rPr>
      </w:pPr>
    </w:p>
    <w:p w14:paraId="34BA6A84" w14:textId="3B5C1EE7" w:rsidR="0015014E" w:rsidRPr="003E75C5" w:rsidRDefault="00826D30" w:rsidP="00826D30">
      <w:pPr>
        <w:spacing w:after="0" w:line="240" w:lineRule="auto"/>
        <w:ind w:left="720" w:right="720" w:firstLine="0"/>
      </w:pPr>
      <w:r w:rsidRPr="003E75C5">
        <w:t>7.</w:t>
      </w:r>
      <w:r w:rsidRPr="003E75C5">
        <w:tab/>
        <w:t>The District agrees to have available a blood test facility for an employee to receive a blood test, for employees who request the blood test, on the same day as the drug test is administered to the employee.</w:t>
      </w:r>
    </w:p>
    <w:p w14:paraId="52EEC55F" w14:textId="77777777" w:rsidR="0096299F" w:rsidRPr="003E75C5" w:rsidRDefault="0096299F" w:rsidP="00A773B3">
      <w:pPr>
        <w:spacing w:after="0" w:line="240" w:lineRule="auto"/>
        <w:ind w:firstLine="0"/>
      </w:pPr>
    </w:p>
    <w:p w14:paraId="59E614AE" w14:textId="77777777" w:rsidR="0015014E" w:rsidRPr="003E75C5" w:rsidRDefault="0015014E" w:rsidP="0015014E">
      <w:pPr>
        <w:pStyle w:val="ListParagraph"/>
        <w:numPr>
          <w:ilvl w:val="0"/>
          <w:numId w:val="15"/>
        </w:numPr>
        <w:spacing w:after="0" w:line="240" w:lineRule="auto"/>
        <w:rPr>
          <w:b/>
          <w:bCs/>
          <w:u w:val="single"/>
        </w:rPr>
      </w:pPr>
      <w:r w:rsidRPr="003E75C5">
        <w:rPr>
          <w:b/>
          <w:bCs/>
          <w:u w:val="single"/>
        </w:rPr>
        <w:t xml:space="preserve">Board’s Finding </w:t>
      </w:r>
    </w:p>
    <w:p w14:paraId="6AB42E80" w14:textId="77777777" w:rsidR="0015014E" w:rsidRPr="003E75C5" w:rsidRDefault="0015014E" w:rsidP="0015014E">
      <w:pPr>
        <w:spacing w:after="0" w:line="240" w:lineRule="auto"/>
        <w:ind w:firstLine="0"/>
        <w:rPr>
          <w:u w:val="single"/>
        </w:rPr>
      </w:pPr>
    </w:p>
    <w:p w14:paraId="31D51ED2" w14:textId="5513F02B" w:rsidR="00F10261" w:rsidRDefault="00B46565" w:rsidP="00507E32">
      <w:pPr>
        <w:spacing w:after="0" w:line="240" w:lineRule="auto"/>
      </w:pPr>
      <w:r w:rsidRPr="003E75C5">
        <w:t xml:space="preserve">Paragraph 7 is not properly before the Board. </w:t>
      </w:r>
      <w:r>
        <w:t>In the Union’s May 13, 2021 proposal, t</w:t>
      </w:r>
      <w:r w:rsidRPr="003E75C5">
        <w:t xml:space="preserve">he Union admitted that it revised </w:t>
      </w:r>
      <w:r w:rsidR="000A4D9A">
        <w:t xml:space="preserve">Proposal #4 </w:t>
      </w:r>
      <w:r>
        <w:t>and offered it to the Agency</w:t>
      </w:r>
      <w:r w:rsidRPr="003E75C5">
        <w:t>.</w:t>
      </w:r>
      <w:r w:rsidRPr="003E75C5">
        <w:rPr>
          <w:rStyle w:val="FootnoteReference"/>
        </w:rPr>
        <w:footnoteReference w:id="30"/>
      </w:r>
      <w:r>
        <w:t xml:space="preserve">  As discussed with </w:t>
      </w:r>
      <w:r w:rsidR="000A4D9A">
        <w:t>Proposal #2</w:t>
      </w:r>
      <w:r>
        <w:t>,</w:t>
      </w:r>
      <w:r w:rsidR="007C425A">
        <w:t xml:space="preserve"> </w:t>
      </w:r>
      <w:r>
        <w:t>the Unio</w:t>
      </w:r>
      <w:r w:rsidR="000A4D9A">
        <w:t>n revoke</w:t>
      </w:r>
      <w:r w:rsidR="007C425A">
        <w:t xml:space="preserve">d </w:t>
      </w:r>
      <w:r w:rsidRPr="003E75C5">
        <w:t>the proposal declared nonnegotiable</w:t>
      </w:r>
      <w:r w:rsidR="007C425A">
        <w:rPr>
          <w:rStyle w:val="FootnoteReference"/>
        </w:rPr>
        <w:footnoteReference w:id="31"/>
      </w:r>
      <w:r w:rsidR="007C425A">
        <w:t xml:space="preserve"> </w:t>
      </w:r>
      <w:r w:rsidR="000A4D9A">
        <w:t>when it offered the revision</w:t>
      </w:r>
      <w:r w:rsidRPr="003E75C5">
        <w:t>.</w:t>
      </w:r>
      <w:r w:rsidR="007C425A">
        <w:t xml:space="preserve"> </w:t>
      </w:r>
      <w:r w:rsidR="000B310B">
        <w:t>In the absence of a</w:t>
      </w:r>
      <w:r w:rsidRPr="003E75C5">
        <w:t xml:space="preserve"> controversy over </w:t>
      </w:r>
      <w:r w:rsidR="000B310B">
        <w:t>Proposal #4,</w:t>
      </w:r>
      <w:r>
        <w:t xml:space="preserve"> the Union’s negotiability appeal is</w:t>
      </w:r>
      <w:r w:rsidR="000B310B">
        <w:t xml:space="preserve"> dismissed as moot.</w:t>
      </w:r>
    </w:p>
    <w:p w14:paraId="28E170F1" w14:textId="77777777" w:rsidR="00B46565" w:rsidRPr="003E75C5" w:rsidRDefault="00B46565" w:rsidP="00507E32">
      <w:pPr>
        <w:spacing w:after="0" w:line="240" w:lineRule="auto"/>
      </w:pPr>
    </w:p>
    <w:p w14:paraId="53D4E75C" w14:textId="492B053F" w:rsidR="0092471E" w:rsidRPr="003E75C5" w:rsidRDefault="00FB1F72" w:rsidP="0092471E">
      <w:pPr>
        <w:ind w:firstLine="0"/>
        <w:jc w:val="center"/>
        <w:rPr>
          <w:rFonts w:eastAsia="Calibri"/>
          <w:szCs w:val="24"/>
        </w:rPr>
      </w:pPr>
      <w:r w:rsidRPr="003E75C5">
        <w:t xml:space="preserve">  </w:t>
      </w:r>
      <w:r w:rsidR="0092471E" w:rsidRPr="003E75C5">
        <w:rPr>
          <w:rFonts w:eastAsia="Calibri"/>
          <w:b/>
          <w:bCs/>
          <w:szCs w:val="24"/>
          <w:u w:val="single"/>
        </w:rPr>
        <w:t>ORDER</w:t>
      </w:r>
    </w:p>
    <w:p w14:paraId="29BC8678" w14:textId="77777777" w:rsidR="0092471E" w:rsidRPr="003E75C5" w:rsidRDefault="0092471E" w:rsidP="0092471E">
      <w:pPr>
        <w:ind w:firstLine="0"/>
        <w:rPr>
          <w:rFonts w:eastAsia="Calibri"/>
          <w:szCs w:val="24"/>
        </w:rPr>
      </w:pPr>
      <w:r w:rsidRPr="003E75C5">
        <w:rPr>
          <w:rFonts w:eastAsia="Calibri"/>
          <w:b/>
          <w:bCs/>
          <w:szCs w:val="24"/>
        </w:rPr>
        <w:t>IT IS HEREBY ORDERED THAT:</w:t>
      </w:r>
    </w:p>
    <w:p w14:paraId="47F6DE1A" w14:textId="408DB3F2" w:rsidR="00B46565" w:rsidRDefault="00B46565" w:rsidP="00B24E28">
      <w:pPr>
        <w:numPr>
          <w:ilvl w:val="0"/>
          <w:numId w:val="2"/>
        </w:numPr>
        <w:spacing w:line="256" w:lineRule="auto"/>
        <w:contextualSpacing/>
        <w:rPr>
          <w:rFonts w:eastAsia="Calibri"/>
          <w:szCs w:val="24"/>
        </w:rPr>
      </w:pPr>
      <w:bookmarkStart w:id="1" w:name="_Hlk79076952"/>
      <w:r w:rsidRPr="003E75C5">
        <w:rPr>
          <w:rFonts w:eastAsia="Calibri"/>
          <w:szCs w:val="24"/>
        </w:rPr>
        <w:t>AFGE’s proposal #</w:t>
      </w:r>
      <w:r>
        <w:rPr>
          <w:rFonts w:eastAsia="Calibri"/>
          <w:szCs w:val="24"/>
        </w:rPr>
        <w:t>1</w:t>
      </w:r>
      <w:r w:rsidRPr="003E75C5">
        <w:rPr>
          <w:rFonts w:eastAsia="Calibri"/>
          <w:szCs w:val="24"/>
        </w:rPr>
        <w:t xml:space="preserve">- </w:t>
      </w:r>
      <w:r w:rsidRPr="003E75C5">
        <w:t xml:space="preserve">Paragraph </w:t>
      </w:r>
      <w:r>
        <w:t>2</w:t>
      </w:r>
      <w:r w:rsidRPr="003E75C5">
        <w:t xml:space="preserve"> is negotiable</w:t>
      </w:r>
      <w:r>
        <w:t>.</w:t>
      </w:r>
      <w:r w:rsidRPr="003E75C5">
        <w:rPr>
          <w:rFonts w:eastAsia="Calibri"/>
          <w:szCs w:val="24"/>
        </w:rPr>
        <w:t xml:space="preserve"> </w:t>
      </w:r>
    </w:p>
    <w:p w14:paraId="7649B1D9" w14:textId="37440815" w:rsidR="0092471E" w:rsidRPr="003E75C5" w:rsidRDefault="0092471E" w:rsidP="00B24E28">
      <w:pPr>
        <w:numPr>
          <w:ilvl w:val="0"/>
          <w:numId w:val="2"/>
        </w:numPr>
        <w:spacing w:line="256" w:lineRule="auto"/>
        <w:contextualSpacing/>
        <w:rPr>
          <w:rFonts w:eastAsia="Calibri"/>
          <w:szCs w:val="24"/>
        </w:rPr>
      </w:pPr>
      <w:r w:rsidRPr="003E75C5">
        <w:rPr>
          <w:rFonts w:eastAsia="Calibri"/>
          <w:szCs w:val="24"/>
        </w:rPr>
        <w:t xml:space="preserve">AFGE’s </w:t>
      </w:r>
      <w:r w:rsidR="00F101A4">
        <w:rPr>
          <w:rFonts w:eastAsia="Calibri"/>
          <w:szCs w:val="24"/>
        </w:rPr>
        <w:t xml:space="preserve">negotiability appeal on </w:t>
      </w:r>
      <w:r w:rsidRPr="003E75C5">
        <w:rPr>
          <w:rFonts w:eastAsia="Calibri"/>
          <w:szCs w:val="24"/>
        </w:rPr>
        <w:t xml:space="preserve">proposal #2- </w:t>
      </w:r>
      <w:r w:rsidR="006C06B5" w:rsidRPr="003E75C5">
        <w:t xml:space="preserve">Paragraph 5 is </w:t>
      </w:r>
      <w:r w:rsidR="00F101A4">
        <w:t>dismissed as moot</w:t>
      </w:r>
      <w:r w:rsidR="006C06B5" w:rsidRPr="003E75C5">
        <w:t>.</w:t>
      </w:r>
    </w:p>
    <w:p w14:paraId="0438C5D3" w14:textId="3A0D6554" w:rsidR="0092471E" w:rsidRPr="003E75C5" w:rsidRDefault="0092471E" w:rsidP="00B24E28">
      <w:pPr>
        <w:numPr>
          <w:ilvl w:val="0"/>
          <w:numId w:val="2"/>
        </w:numPr>
        <w:spacing w:line="256" w:lineRule="auto"/>
        <w:contextualSpacing/>
        <w:rPr>
          <w:rFonts w:eastAsia="Calibri"/>
          <w:szCs w:val="24"/>
        </w:rPr>
      </w:pPr>
      <w:r w:rsidRPr="003E75C5">
        <w:rPr>
          <w:rFonts w:eastAsia="Calibri"/>
          <w:szCs w:val="24"/>
        </w:rPr>
        <w:t xml:space="preserve">AFGE’s proposal #3- </w:t>
      </w:r>
      <w:r w:rsidR="006C06B5" w:rsidRPr="003E75C5">
        <w:t>Paragraph 6 is negotiable.</w:t>
      </w:r>
    </w:p>
    <w:p w14:paraId="1109EA06" w14:textId="67E31E1A" w:rsidR="0092471E" w:rsidRPr="003E75C5" w:rsidRDefault="0092471E" w:rsidP="00B24E28">
      <w:pPr>
        <w:numPr>
          <w:ilvl w:val="0"/>
          <w:numId w:val="2"/>
        </w:numPr>
        <w:spacing w:line="256" w:lineRule="auto"/>
        <w:contextualSpacing/>
        <w:rPr>
          <w:rFonts w:eastAsia="Calibri"/>
          <w:szCs w:val="24"/>
        </w:rPr>
      </w:pPr>
      <w:r w:rsidRPr="003E75C5">
        <w:rPr>
          <w:rFonts w:eastAsia="Calibri"/>
          <w:szCs w:val="24"/>
        </w:rPr>
        <w:t xml:space="preserve">AFGE’s </w:t>
      </w:r>
      <w:r w:rsidR="004F7F79">
        <w:rPr>
          <w:rFonts w:eastAsia="Calibri"/>
          <w:szCs w:val="24"/>
        </w:rPr>
        <w:t xml:space="preserve">negotiability appeal on </w:t>
      </w:r>
      <w:r w:rsidRPr="003E75C5">
        <w:rPr>
          <w:rFonts w:eastAsia="Calibri"/>
          <w:szCs w:val="24"/>
        </w:rPr>
        <w:t xml:space="preserve">proposal #4- </w:t>
      </w:r>
      <w:r w:rsidR="006C06B5" w:rsidRPr="003E75C5">
        <w:t xml:space="preserve">Paragraph 7 </w:t>
      </w:r>
      <w:r w:rsidR="003E75C5" w:rsidRPr="003E75C5">
        <w:t xml:space="preserve">is </w:t>
      </w:r>
      <w:r w:rsidR="004F7F79">
        <w:t>dismissed as moot</w:t>
      </w:r>
      <w:r w:rsidR="003E75C5" w:rsidRPr="003E75C5">
        <w:t>.</w:t>
      </w:r>
    </w:p>
    <w:bookmarkEnd w:id="1"/>
    <w:p w14:paraId="30F34FAA" w14:textId="77777777" w:rsidR="0092471E" w:rsidRPr="003E75C5" w:rsidRDefault="0092471E" w:rsidP="006B5146">
      <w:pPr>
        <w:numPr>
          <w:ilvl w:val="0"/>
          <w:numId w:val="2"/>
        </w:numPr>
        <w:spacing w:after="0"/>
        <w:contextualSpacing/>
        <w:rPr>
          <w:rFonts w:eastAsia="Calibri"/>
          <w:szCs w:val="24"/>
        </w:rPr>
      </w:pPr>
      <w:r w:rsidRPr="003E75C5">
        <w:rPr>
          <w:rFonts w:eastAsia="Calibri"/>
          <w:szCs w:val="24"/>
        </w:rPr>
        <w:t>Pursuant to Board Rule 559.1, this decision and order is final upon issuance.</w:t>
      </w:r>
    </w:p>
    <w:p w14:paraId="0143F8AA" w14:textId="6CA9A447" w:rsidR="0092471E" w:rsidRPr="003E75C5" w:rsidRDefault="006B5146" w:rsidP="006B5146">
      <w:pPr>
        <w:spacing w:after="120"/>
        <w:ind w:firstLine="0"/>
        <w:rPr>
          <w:rFonts w:eastAsia="Calibri"/>
          <w:szCs w:val="24"/>
        </w:rPr>
      </w:pPr>
      <w:r>
        <w:rPr>
          <w:rFonts w:eastAsia="Calibri"/>
          <w:b/>
          <w:bCs/>
          <w:szCs w:val="24"/>
        </w:rPr>
        <w:t>B</w:t>
      </w:r>
      <w:r w:rsidR="0092471E" w:rsidRPr="003E75C5">
        <w:rPr>
          <w:rFonts w:eastAsia="Calibri"/>
          <w:b/>
          <w:bCs/>
          <w:szCs w:val="24"/>
        </w:rPr>
        <w:t>Y ORDER OF THE PUBLIC EMPLOYEE RELATIONS BOARD</w:t>
      </w:r>
    </w:p>
    <w:p w14:paraId="179F5ECF" w14:textId="77777777" w:rsidR="006B5146" w:rsidRDefault="00B24E28" w:rsidP="006B5146">
      <w:pPr>
        <w:spacing w:after="120"/>
        <w:ind w:firstLine="0"/>
        <w:rPr>
          <w:rFonts w:eastAsia="Calibri"/>
          <w:szCs w:val="24"/>
        </w:rPr>
      </w:pPr>
      <w:r w:rsidRPr="00B24E28">
        <w:rPr>
          <w:rFonts w:eastAsia="Calibri"/>
          <w:szCs w:val="24"/>
        </w:rPr>
        <w:t>By unanimous vote of Board Chairperson Douglas Warshof and Board members Mary Anne Gibbons, Peter Winkler, and Renee Bowser.</w:t>
      </w:r>
    </w:p>
    <w:p w14:paraId="571AC057" w14:textId="60AE3E78" w:rsidR="0092471E" w:rsidRDefault="0092471E" w:rsidP="006B5146">
      <w:pPr>
        <w:spacing w:after="0"/>
        <w:ind w:firstLine="0"/>
        <w:rPr>
          <w:rFonts w:eastAsia="Calibri"/>
          <w:b/>
          <w:bCs/>
          <w:szCs w:val="24"/>
        </w:rPr>
      </w:pPr>
      <w:r w:rsidRPr="003E75C5">
        <w:rPr>
          <w:rFonts w:eastAsia="Calibri"/>
          <w:b/>
          <w:bCs/>
          <w:szCs w:val="24"/>
        </w:rPr>
        <w:t>Washington, D.C.</w:t>
      </w:r>
    </w:p>
    <w:p w14:paraId="3851AA60" w14:textId="77777777" w:rsidR="0092471E" w:rsidRPr="003E75C5" w:rsidRDefault="0092471E" w:rsidP="006B5146">
      <w:pPr>
        <w:spacing w:after="0"/>
        <w:ind w:firstLine="0"/>
        <w:rPr>
          <w:rFonts w:eastAsia="Calibri"/>
          <w:b/>
          <w:bCs/>
          <w:szCs w:val="24"/>
        </w:rPr>
      </w:pPr>
      <w:r w:rsidRPr="003E75C5">
        <w:rPr>
          <w:rFonts w:eastAsia="Calibri"/>
          <w:b/>
          <w:bCs/>
          <w:szCs w:val="24"/>
        </w:rPr>
        <w:t>August 19, 2021</w:t>
      </w:r>
    </w:p>
    <w:p w14:paraId="30020216" w14:textId="77777777" w:rsidR="0092471E" w:rsidRPr="003E75C5" w:rsidRDefault="0092471E" w:rsidP="0092471E">
      <w:pPr>
        <w:spacing w:after="0" w:line="240" w:lineRule="auto"/>
        <w:ind w:firstLine="0"/>
        <w:sectPr w:rsidR="0092471E" w:rsidRPr="003E75C5" w:rsidSect="00AD2D1E">
          <w:headerReference w:type="default" r:id="rId9"/>
          <w:pgSz w:w="12240" w:h="15840"/>
          <w:pgMar w:top="1440" w:right="1440" w:bottom="1440" w:left="1440" w:header="720" w:footer="720" w:gutter="0"/>
          <w:cols w:space="720"/>
          <w:titlePg/>
          <w:docGrid w:linePitch="360"/>
        </w:sectPr>
      </w:pPr>
    </w:p>
    <w:p w14:paraId="2AEA0CCA" w14:textId="77777777" w:rsidR="00B24E28" w:rsidRDefault="00B24E28" w:rsidP="00B24E28">
      <w:pPr>
        <w:widowControl w:val="0"/>
        <w:shd w:val="clear" w:color="auto" w:fill="FFFFFF"/>
        <w:autoSpaceDE w:val="0"/>
        <w:autoSpaceDN w:val="0"/>
        <w:adjustRightInd w:val="0"/>
        <w:spacing w:after="0" w:line="240" w:lineRule="auto"/>
        <w:ind w:left="7"/>
        <w:jc w:val="center"/>
        <w:rPr>
          <w:rFonts w:eastAsiaTheme="minorEastAsia"/>
          <w:b/>
          <w:spacing w:val="-11"/>
          <w:szCs w:val="24"/>
          <w:u w:val="single"/>
        </w:rPr>
      </w:pPr>
      <w:r>
        <w:rPr>
          <w:rFonts w:eastAsiaTheme="minorEastAsia"/>
          <w:b/>
          <w:spacing w:val="-11"/>
          <w:szCs w:val="24"/>
          <w:u w:val="single"/>
        </w:rPr>
        <w:lastRenderedPageBreak/>
        <w:t>CERTIFICATE OF SERVICE</w:t>
      </w:r>
    </w:p>
    <w:p w14:paraId="6FF97A2C" w14:textId="77777777" w:rsidR="00B24E28" w:rsidRDefault="00B24E28" w:rsidP="00B24E28">
      <w:pPr>
        <w:widowControl w:val="0"/>
        <w:shd w:val="clear" w:color="auto" w:fill="FFFFFF"/>
        <w:autoSpaceDE w:val="0"/>
        <w:autoSpaceDN w:val="0"/>
        <w:adjustRightInd w:val="0"/>
        <w:spacing w:after="0" w:line="240" w:lineRule="auto"/>
        <w:ind w:left="7"/>
        <w:jc w:val="center"/>
        <w:rPr>
          <w:rFonts w:eastAsiaTheme="minorEastAsia"/>
          <w:szCs w:val="24"/>
        </w:rPr>
      </w:pPr>
    </w:p>
    <w:p w14:paraId="50D0CD30" w14:textId="6C395CE2" w:rsidR="00B24E28" w:rsidRDefault="00B24E28" w:rsidP="006B5146">
      <w:pPr>
        <w:spacing w:after="0" w:line="240" w:lineRule="auto"/>
        <w:ind w:firstLine="0"/>
        <w:rPr>
          <w:rFonts w:eastAsiaTheme="minorEastAsia"/>
          <w:szCs w:val="24"/>
        </w:rPr>
      </w:pPr>
      <w:r>
        <w:rPr>
          <w:rFonts w:eastAsiaTheme="minorEastAsia"/>
          <w:spacing w:val="-13"/>
          <w:szCs w:val="24"/>
        </w:rPr>
        <w:t xml:space="preserve">This is to certify that the attached Decision and Order in </w:t>
      </w:r>
      <w:r>
        <w:rPr>
          <w:szCs w:val="24"/>
        </w:rPr>
        <w:t>PERB Case No. 21-N-04,</w:t>
      </w:r>
      <w:r>
        <w:rPr>
          <w:rFonts w:eastAsiaTheme="minorEastAsia"/>
          <w:spacing w:val="-13"/>
          <w:szCs w:val="24"/>
        </w:rPr>
        <w:t xml:space="preserve"> Slip Op. No. </w:t>
      </w:r>
      <w:r w:rsidR="006B5146">
        <w:rPr>
          <w:rFonts w:eastAsiaTheme="minorEastAsia"/>
          <w:spacing w:val="-13"/>
          <w:szCs w:val="24"/>
        </w:rPr>
        <w:t>1796</w:t>
      </w:r>
      <w:r>
        <w:rPr>
          <w:rFonts w:eastAsiaTheme="minorEastAsia"/>
          <w:spacing w:val="-13"/>
          <w:szCs w:val="24"/>
        </w:rPr>
        <w:t xml:space="preserve"> </w:t>
      </w:r>
      <w:r>
        <w:rPr>
          <w:rFonts w:eastAsiaTheme="minorEastAsia"/>
          <w:spacing w:val="-10"/>
          <w:szCs w:val="24"/>
        </w:rPr>
        <w:t xml:space="preserve">was sent by File and </w:t>
      </w:r>
      <w:proofErr w:type="spellStart"/>
      <w:r>
        <w:rPr>
          <w:rFonts w:eastAsiaTheme="minorEastAsia"/>
          <w:spacing w:val="-10"/>
          <w:szCs w:val="24"/>
        </w:rPr>
        <w:t>ServeXpress</w:t>
      </w:r>
      <w:proofErr w:type="spellEnd"/>
      <w:r>
        <w:rPr>
          <w:rFonts w:eastAsiaTheme="minorEastAsia"/>
          <w:spacing w:val="-10"/>
          <w:szCs w:val="24"/>
        </w:rPr>
        <w:t xml:space="preserve"> to the following parties on this  </w:t>
      </w:r>
      <w:r w:rsidR="006B5146">
        <w:rPr>
          <w:rFonts w:eastAsiaTheme="minorEastAsia"/>
          <w:spacing w:val="-10"/>
          <w:szCs w:val="24"/>
        </w:rPr>
        <w:t xml:space="preserve">23rd </w:t>
      </w:r>
      <w:r>
        <w:rPr>
          <w:rFonts w:eastAsiaTheme="minorEastAsia"/>
          <w:szCs w:val="24"/>
        </w:rPr>
        <w:t>day of August 2021.</w:t>
      </w:r>
    </w:p>
    <w:p w14:paraId="755C9728" w14:textId="77777777" w:rsidR="00B24E28" w:rsidRDefault="00B24E28" w:rsidP="00B24E28">
      <w:pPr>
        <w:spacing w:after="0" w:line="240" w:lineRule="auto"/>
        <w:ind w:firstLine="0"/>
      </w:pPr>
    </w:p>
    <w:p w14:paraId="7C1FC8DF" w14:textId="77777777" w:rsidR="00B24E28" w:rsidRDefault="00B24E28" w:rsidP="00B24E28">
      <w:pPr>
        <w:spacing w:after="0" w:line="240" w:lineRule="auto"/>
        <w:ind w:firstLine="0"/>
      </w:pPr>
      <w:r>
        <w:t>Barbara Hutchinson</w:t>
      </w:r>
    </w:p>
    <w:p w14:paraId="6A6A1037" w14:textId="77777777" w:rsidR="00B24E28" w:rsidRDefault="00B24E28" w:rsidP="00B24E28">
      <w:pPr>
        <w:spacing w:after="0" w:line="240" w:lineRule="auto"/>
        <w:ind w:firstLine="0"/>
      </w:pPr>
      <w:r>
        <w:t>American Federation of Government Employees</w:t>
      </w:r>
    </w:p>
    <w:p w14:paraId="01FCFBE8" w14:textId="77777777" w:rsidR="00B24E28" w:rsidRDefault="00B24E28" w:rsidP="00B24E28">
      <w:pPr>
        <w:spacing w:after="0" w:line="240" w:lineRule="auto"/>
        <w:ind w:firstLine="0"/>
      </w:pPr>
      <w:r>
        <w:t>Local 631</w:t>
      </w:r>
    </w:p>
    <w:p w14:paraId="6158924D" w14:textId="77777777" w:rsidR="00B24E28" w:rsidRDefault="00B24E28" w:rsidP="00B24E28">
      <w:pPr>
        <w:spacing w:after="0" w:line="240" w:lineRule="auto"/>
        <w:ind w:firstLine="0"/>
      </w:pPr>
      <w:r>
        <w:t xml:space="preserve">1325 G St. NW, Suite 500 </w:t>
      </w:r>
    </w:p>
    <w:p w14:paraId="1DF17576" w14:textId="77777777" w:rsidR="00B24E28" w:rsidRDefault="00B24E28" w:rsidP="00B24E28">
      <w:pPr>
        <w:spacing w:after="0" w:line="240" w:lineRule="auto"/>
        <w:ind w:firstLine="0"/>
      </w:pPr>
      <w:r>
        <w:t xml:space="preserve">Washington, D.C. 20005 </w:t>
      </w:r>
    </w:p>
    <w:p w14:paraId="5333E00C" w14:textId="77777777" w:rsidR="00B24E28" w:rsidRDefault="00B24E28" w:rsidP="00B24E28">
      <w:pPr>
        <w:spacing w:after="0" w:line="240" w:lineRule="auto"/>
        <w:ind w:firstLine="0"/>
      </w:pPr>
    </w:p>
    <w:p w14:paraId="0826FE56" w14:textId="77777777" w:rsidR="00B24E28" w:rsidRDefault="00B24E28" w:rsidP="00B24E28">
      <w:pPr>
        <w:spacing w:after="0" w:line="240" w:lineRule="auto"/>
        <w:ind w:firstLine="0"/>
      </w:pPr>
      <w:r>
        <w:t xml:space="preserve">Gail L. Heath </w:t>
      </w:r>
    </w:p>
    <w:p w14:paraId="5AF7D1C7" w14:textId="77777777" w:rsidR="00B24E28" w:rsidRDefault="00B24E28" w:rsidP="00B24E28">
      <w:pPr>
        <w:spacing w:after="0" w:line="240" w:lineRule="auto"/>
        <w:ind w:firstLine="0"/>
      </w:pPr>
      <w:r>
        <w:t xml:space="preserve">District of Columbia Office of Labor </w:t>
      </w:r>
    </w:p>
    <w:p w14:paraId="7037A365" w14:textId="77777777" w:rsidR="00B24E28" w:rsidRDefault="00B24E28" w:rsidP="00B24E28">
      <w:pPr>
        <w:spacing w:after="0" w:line="240" w:lineRule="auto"/>
        <w:ind w:firstLine="0"/>
      </w:pPr>
      <w:r>
        <w:t xml:space="preserve">Relations and Collective Bargaining </w:t>
      </w:r>
    </w:p>
    <w:p w14:paraId="21844D4F" w14:textId="77777777" w:rsidR="00B24E28" w:rsidRDefault="00B24E28" w:rsidP="00B24E28">
      <w:pPr>
        <w:spacing w:after="0" w:line="240" w:lineRule="auto"/>
        <w:ind w:firstLine="0"/>
      </w:pPr>
      <w:r>
        <w:t xml:space="preserve">441 4th Street NW, 820 North </w:t>
      </w:r>
    </w:p>
    <w:p w14:paraId="6B968DAA" w14:textId="77777777" w:rsidR="00B24E28" w:rsidRDefault="00B24E28" w:rsidP="00B24E28">
      <w:pPr>
        <w:spacing w:after="0" w:line="240" w:lineRule="auto"/>
        <w:ind w:firstLine="0"/>
      </w:pPr>
      <w:r>
        <w:t>Washington, D.C. 20001</w:t>
      </w:r>
    </w:p>
    <w:p w14:paraId="09C594EB" w14:textId="77777777" w:rsidR="00B24E28" w:rsidRDefault="00B24E28" w:rsidP="00B24E28">
      <w:pPr>
        <w:spacing w:after="0" w:line="240" w:lineRule="auto"/>
        <w:ind w:firstLine="0"/>
      </w:pPr>
    </w:p>
    <w:p w14:paraId="7BEEAD0C" w14:textId="03B36982" w:rsidR="00B24E28" w:rsidRDefault="00B24E28" w:rsidP="00B24E28">
      <w:pPr>
        <w:spacing w:after="0" w:line="240" w:lineRule="auto"/>
        <w:ind w:firstLine="0"/>
        <w:rPr>
          <w:u w:val="single"/>
        </w:rPr>
      </w:pPr>
      <w:r>
        <w:rPr>
          <w:u w:val="single"/>
        </w:rPr>
        <w:t xml:space="preserve">/s/ </w:t>
      </w:r>
      <w:r w:rsidR="006B5146">
        <w:rPr>
          <w:u w:val="single"/>
        </w:rPr>
        <w:t>Royale Simms</w:t>
      </w:r>
    </w:p>
    <w:p w14:paraId="0E718F9C" w14:textId="77777777" w:rsidR="00B24E28" w:rsidRDefault="00B24E28" w:rsidP="00B24E28">
      <w:pPr>
        <w:spacing w:after="0" w:line="240" w:lineRule="auto"/>
        <w:ind w:firstLine="0"/>
      </w:pPr>
      <w:r>
        <w:t>Public Employee Relations Board</w:t>
      </w:r>
    </w:p>
    <w:p w14:paraId="359F1D07" w14:textId="77777777" w:rsidR="00B24E28" w:rsidRDefault="00B24E28" w:rsidP="00B24E28">
      <w:pPr>
        <w:spacing w:after="0" w:line="240" w:lineRule="auto"/>
      </w:pPr>
    </w:p>
    <w:p w14:paraId="22B32892" w14:textId="27632567" w:rsidR="00FB1F72" w:rsidRPr="003E75C5" w:rsidRDefault="00FB1F72" w:rsidP="00A10778">
      <w:pPr>
        <w:spacing w:after="0" w:line="240" w:lineRule="auto"/>
      </w:pPr>
    </w:p>
    <w:sectPr w:rsidR="00FB1F72" w:rsidRPr="003E75C5" w:rsidSect="004C5953">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FD37B8" w14:textId="77777777" w:rsidR="00DF527E" w:rsidRDefault="00DF527E" w:rsidP="002C37D2">
      <w:pPr>
        <w:spacing w:after="0" w:line="240" w:lineRule="auto"/>
      </w:pPr>
      <w:r>
        <w:separator/>
      </w:r>
    </w:p>
  </w:endnote>
  <w:endnote w:type="continuationSeparator" w:id="0">
    <w:p w14:paraId="1D1A47E6" w14:textId="77777777" w:rsidR="00DF527E" w:rsidRDefault="00DF527E" w:rsidP="002C3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55F9D" w14:textId="77777777" w:rsidR="00DF527E" w:rsidRDefault="00DF527E" w:rsidP="002C37D2">
      <w:pPr>
        <w:spacing w:after="0" w:line="240" w:lineRule="auto"/>
      </w:pPr>
      <w:r>
        <w:separator/>
      </w:r>
    </w:p>
  </w:footnote>
  <w:footnote w:type="continuationSeparator" w:id="0">
    <w:p w14:paraId="59FAF208" w14:textId="77777777" w:rsidR="00DF527E" w:rsidRDefault="00DF527E" w:rsidP="002C37D2">
      <w:pPr>
        <w:spacing w:after="0" w:line="240" w:lineRule="auto"/>
      </w:pPr>
      <w:r>
        <w:continuationSeparator/>
      </w:r>
    </w:p>
  </w:footnote>
  <w:footnote w:id="1">
    <w:p w14:paraId="72BA8F9B" w14:textId="5DD696DD" w:rsidR="003E116E" w:rsidRPr="00B46565" w:rsidRDefault="003E116E"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004D66AF" w:rsidRPr="00B46565">
        <w:rPr>
          <w:rFonts w:ascii="Times New Roman" w:hAnsi="Times New Roman" w:cs="Times New Roman"/>
        </w:rPr>
        <w:t xml:space="preserve">The Agency asserts that the Appeal must be dismissed on procedural grounds because the Union failed to list the Office of Contract and Procurement </w:t>
      </w:r>
      <w:r w:rsidR="00730E2B" w:rsidRPr="00B46565">
        <w:rPr>
          <w:rFonts w:ascii="Times New Roman" w:hAnsi="Times New Roman" w:cs="Times New Roman"/>
        </w:rPr>
        <w:t xml:space="preserve">(OCP) </w:t>
      </w:r>
      <w:r w:rsidR="004D66AF" w:rsidRPr="00B46565">
        <w:rPr>
          <w:rFonts w:ascii="Times New Roman" w:hAnsi="Times New Roman" w:cs="Times New Roman"/>
        </w:rPr>
        <w:t xml:space="preserve">as a party. This argument is unpersuasive. Board Rule 532.3 requires the petitioner to provide the name and contact information for the chief negotiator in the appeal. The Office of Labor Relations and Collective Bargaining is the representative for the above agencies in the negotiations and in this Appeal. To the extent that the Agency is asserting a violation of due process, the Board finds that </w:t>
      </w:r>
      <w:r w:rsidR="00022F83" w:rsidRPr="00B46565">
        <w:rPr>
          <w:rFonts w:ascii="Times New Roman" w:hAnsi="Times New Roman" w:cs="Times New Roman"/>
        </w:rPr>
        <w:t>OCP</w:t>
      </w:r>
      <w:r w:rsidR="004D66AF" w:rsidRPr="00B46565">
        <w:rPr>
          <w:rFonts w:ascii="Times New Roman" w:hAnsi="Times New Roman" w:cs="Times New Roman"/>
        </w:rPr>
        <w:t xml:space="preserve"> has not been prejudiced and that the failure to list </w:t>
      </w:r>
      <w:r w:rsidR="00E36B40" w:rsidRPr="00B46565">
        <w:rPr>
          <w:rFonts w:ascii="Times New Roman" w:hAnsi="Times New Roman" w:cs="Times New Roman"/>
        </w:rPr>
        <w:t>OCP</w:t>
      </w:r>
      <w:r w:rsidR="004D66AF" w:rsidRPr="00B46565">
        <w:rPr>
          <w:rFonts w:ascii="Times New Roman" w:hAnsi="Times New Roman" w:cs="Times New Roman"/>
        </w:rPr>
        <w:t xml:space="preserve"> was a harmless error.</w:t>
      </w:r>
    </w:p>
  </w:footnote>
  <w:footnote w:id="2">
    <w:p w14:paraId="1E569C79" w14:textId="02E9ABE8" w:rsidR="00E0712C" w:rsidRPr="00B46565" w:rsidRDefault="00E0712C"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00272876" w:rsidRPr="00B46565">
        <w:rPr>
          <w:rFonts w:ascii="Times New Roman" w:hAnsi="Times New Roman" w:cs="Times New Roman"/>
        </w:rPr>
        <w:t>Appeal at 1.</w:t>
      </w:r>
    </w:p>
  </w:footnote>
  <w:footnote w:id="3">
    <w:p w14:paraId="0FD3A71D" w14:textId="3E1F5DD7" w:rsidR="00E0712C" w:rsidRPr="00B46565" w:rsidRDefault="00E0712C"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Appeal at </w:t>
      </w:r>
      <w:r w:rsidR="0027759D" w:rsidRPr="00B46565">
        <w:rPr>
          <w:rFonts w:ascii="Times New Roman" w:hAnsi="Times New Roman" w:cs="Times New Roman"/>
        </w:rPr>
        <w:t>2</w:t>
      </w:r>
      <w:r w:rsidRPr="00B46565">
        <w:rPr>
          <w:rFonts w:ascii="Times New Roman" w:hAnsi="Times New Roman" w:cs="Times New Roman"/>
        </w:rPr>
        <w:t>.</w:t>
      </w:r>
    </w:p>
  </w:footnote>
  <w:footnote w:id="4">
    <w:p w14:paraId="013B5411" w14:textId="4F8CE3E8" w:rsidR="00E0712C" w:rsidRPr="00B46565" w:rsidRDefault="00E0712C"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001C287C" w:rsidRPr="00B46565">
        <w:rPr>
          <w:rFonts w:ascii="Times New Roman" w:hAnsi="Times New Roman" w:cs="Times New Roman"/>
        </w:rPr>
        <w:t>Answer at 2.</w:t>
      </w:r>
    </w:p>
  </w:footnote>
  <w:footnote w:id="5">
    <w:p w14:paraId="32305094" w14:textId="77777777"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DCNA v. DOH</w:t>
      </w:r>
      <w:r w:rsidRPr="00B46565">
        <w:rPr>
          <w:rFonts w:ascii="Times New Roman" w:hAnsi="Times New Roman" w:cs="Times New Roman"/>
        </w:rPr>
        <w:t>, 59 D.C. Reg. 10,776, Slip Op. No. 1285 at p. 4, PERB Case No. 12-N-01 (2012) (</w:t>
      </w:r>
      <w:r w:rsidRPr="00B46565">
        <w:rPr>
          <w:rFonts w:ascii="Times New Roman" w:hAnsi="Times New Roman" w:cs="Times New Roman"/>
          <w:i/>
        </w:rPr>
        <w:t>citing NLRB v. Wooster Div. of Borg-Warner Corp</w:t>
      </w:r>
      <w:r w:rsidRPr="00B46565">
        <w:rPr>
          <w:rFonts w:ascii="Times New Roman" w:hAnsi="Times New Roman" w:cs="Times New Roman"/>
        </w:rPr>
        <w:t xml:space="preserve">., 356 U.S. 342 (1975)).  </w:t>
      </w:r>
    </w:p>
  </w:footnote>
  <w:footnote w:id="6">
    <w:p w14:paraId="02901AD5" w14:textId="77777777"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UDCFA v. UDC,  D.C.</w:t>
      </w:r>
      <w:r w:rsidRPr="00B46565">
        <w:rPr>
          <w:rFonts w:ascii="Times New Roman" w:hAnsi="Times New Roman" w:cs="Times New Roman"/>
        </w:rPr>
        <w:t>, 64 D.C. Reg. 5132, Slip Op. No. 1617 at 2, PERB Case No. 16-N-01 (2017).</w:t>
      </w:r>
    </w:p>
  </w:footnote>
  <w:footnote w:id="7">
    <w:p w14:paraId="6D62016B" w14:textId="51446F9A"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NAGE Local R3-06 v. WASA</w:t>
      </w:r>
      <w:r w:rsidRPr="00B46565">
        <w:rPr>
          <w:rFonts w:ascii="Times New Roman" w:hAnsi="Times New Roman" w:cs="Times New Roman"/>
        </w:rPr>
        <w:t xml:space="preserve">, 60 D.C. Reg. 9194, Slip Op. No. 1389 at 4, 13-N-03 (2013); </w:t>
      </w:r>
      <w:r w:rsidRPr="00B46565">
        <w:rPr>
          <w:rFonts w:ascii="Times New Roman" w:hAnsi="Times New Roman" w:cs="Times New Roman"/>
          <w:i/>
          <w:iCs/>
        </w:rPr>
        <w:t xml:space="preserve"> FEMS and AFGE, Local 3721</w:t>
      </w:r>
      <w:r w:rsidRPr="00B46565">
        <w:rPr>
          <w:rFonts w:ascii="Times New Roman" w:hAnsi="Times New Roman" w:cs="Times New Roman"/>
        </w:rPr>
        <w:t xml:space="preserve">, 54 D.C. Reg. 3167, Slip Op. </w:t>
      </w:r>
      <w:r w:rsidR="003E75C5" w:rsidRPr="00B46565">
        <w:rPr>
          <w:rFonts w:ascii="Times New Roman" w:hAnsi="Times New Roman" w:cs="Times New Roman"/>
        </w:rPr>
        <w:t xml:space="preserve">No. </w:t>
      </w:r>
      <w:r w:rsidRPr="00B46565">
        <w:rPr>
          <w:rFonts w:ascii="Times New Roman" w:hAnsi="Times New Roman" w:cs="Times New Roman"/>
        </w:rPr>
        <w:t>874 at 9, PERB Case No. 06-N-01 (2007).</w:t>
      </w:r>
    </w:p>
  </w:footnote>
  <w:footnote w:id="8">
    <w:p w14:paraId="63DD4DDF" w14:textId="417221EA" w:rsidR="00141B4B" w:rsidRPr="00B46565" w:rsidRDefault="00141B4B" w:rsidP="007C425A">
      <w:pPr>
        <w:pStyle w:val="FootnoteText"/>
        <w:tabs>
          <w:tab w:val="left" w:pos="3720"/>
        </w:tabs>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D.C. Official Code §1-617.08(a).</w:t>
      </w:r>
      <w:r w:rsidRPr="00B46565">
        <w:rPr>
          <w:rFonts w:ascii="Times New Roman" w:hAnsi="Times New Roman" w:cs="Times New Roman"/>
        </w:rPr>
        <w:tab/>
      </w:r>
    </w:p>
  </w:footnote>
  <w:footnote w:id="9">
    <w:p w14:paraId="3C01596D" w14:textId="77777777"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UDCFA</w:t>
      </w:r>
      <w:r w:rsidRPr="00B46565">
        <w:rPr>
          <w:rFonts w:ascii="Times New Roman" w:hAnsi="Times New Roman" w:cs="Times New Roman"/>
        </w:rPr>
        <w:t>, Slip Op. No. 1617 at 2.</w:t>
      </w:r>
    </w:p>
  </w:footnote>
  <w:footnote w:id="10">
    <w:p w14:paraId="1AD07647" w14:textId="5F01E3BE"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D.C. Official Code §1-617.08(b).</w:t>
      </w:r>
    </w:p>
  </w:footnote>
  <w:footnote w:id="11">
    <w:p w14:paraId="4A5646CD" w14:textId="30EAC69E"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FOP/Protective Serv. Police Dep’t Labor Comm. v. DGS</w:t>
      </w:r>
      <w:r w:rsidRPr="00B46565">
        <w:rPr>
          <w:rFonts w:ascii="Times New Roman" w:hAnsi="Times New Roman" w:cs="Times New Roman"/>
        </w:rPr>
        <w:t xml:space="preserve">, 62 D.C. Reg. 16505, Slip Op. </w:t>
      </w:r>
      <w:r w:rsidR="00854285" w:rsidRPr="00B46565">
        <w:rPr>
          <w:rFonts w:ascii="Times New Roman" w:hAnsi="Times New Roman" w:cs="Times New Roman"/>
        </w:rPr>
        <w:t xml:space="preserve">No. </w:t>
      </w:r>
      <w:r w:rsidRPr="00B46565">
        <w:rPr>
          <w:rFonts w:ascii="Times New Roman" w:hAnsi="Times New Roman" w:cs="Times New Roman"/>
        </w:rPr>
        <w:t>1551 at 1, PERB Case No. 15-N-04 (2015).</w:t>
      </w:r>
    </w:p>
  </w:footnote>
  <w:footnote w:id="12">
    <w:p w14:paraId="6AE70B79" w14:textId="77777777"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rPr>
        <w:t>UDCFA,</w:t>
      </w:r>
      <w:r w:rsidRPr="00B46565">
        <w:rPr>
          <w:rFonts w:ascii="Times New Roman" w:hAnsi="Times New Roman" w:cs="Times New Roman"/>
        </w:rPr>
        <w:t xml:space="preserve"> Slip Op. No. 1617 at 2-3.</w:t>
      </w:r>
    </w:p>
  </w:footnote>
  <w:footnote w:id="13">
    <w:p w14:paraId="3CB01B77" w14:textId="169024B6" w:rsidR="00141B4B" w:rsidRPr="00B46565" w:rsidRDefault="00141B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iCs/>
        </w:rPr>
        <w:t>See NAGE v. D.C. National Guard</w:t>
      </w:r>
      <w:r w:rsidRPr="00B46565">
        <w:rPr>
          <w:rFonts w:ascii="Times New Roman" w:hAnsi="Times New Roman" w:cs="Times New Roman"/>
        </w:rPr>
        <w:t>, 68 D.C. 4749, Slip Op. No. 1779 at n. 34, PERB Case No. 21-N-02 (2021) (The Board adopts the practice of the FLRA</w:t>
      </w:r>
      <w:r w:rsidR="00AB22A0">
        <w:rPr>
          <w:rFonts w:ascii="Times New Roman" w:hAnsi="Times New Roman" w:cs="Times New Roman"/>
        </w:rPr>
        <w:t>,</w:t>
      </w:r>
      <w:r w:rsidRPr="00B46565">
        <w:rPr>
          <w:rFonts w:ascii="Times New Roman" w:hAnsi="Times New Roman" w:cs="Times New Roman"/>
        </w:rPr>
        <w:t xml:space="preserve"> </w:t>
      </w:r>
      <w:r w:rsidR="00815EF3" w:rsidRPr="00B46565">
        <w:rPr>
          <w:rFonts w:ascii="Times New Roman" w:hAnsi="Times New Roman" w:cs="Times New Roman"/>
        </w:rPr>
        <w:t>which permits a party to request that the Board’s review the negotiability of a severed portion of a proposal.).</w:t>
      </w:r>
    </w:p>
  </w:footnote>
  <w:footnote w:id="14">
    <w:p w14:paraId="0E4A3896" w14:textId="77777777" w:rsidR="00BB4D50" w:rsidRPr="00B46565" w:rsidRDefault="00BB4D50"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Answer at 5. </w:t>
      </w:r>
    </w:p>
  </w:footnote>
  <w:footnote w:id="15">
    <w:p w14:paraId="50698C56" w14:textId="77777777" w:rsidR="00BB4D50" w:rsidRPr="00B46565" w:rsidRDefault="00BB4D50"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Answer at 6.</w:t>
      </w:r>
    </w:p>
  </w:footnote>
  <w:footnote w:id="16">
    <w:p w14:paraId="7C39A1C5" w14:textId="77777777" w:rsidR="00BB4D50" w:rsidRPr="00B46565" w:rsidRDefault="00BB4D50"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Answer at 6 (citing </w:t>
      </w:r>
      <w:r w:rsidRPr="00C60C74">
        <w:rPr>
          <w:rFonts w:ascii="Times New Roman" w:hAnsi="Times New Roman" w:cs="Times New Roman"/>
          <w:i/>
          <w:iCs/>
        </w:rPr>
        <w:t>FOP/MPD Labor Comm. v. MPD</w:t>
      </w:r>
      <w:r w:rsidRPr="00B46565">
        <w:rPr>
          <w:rFonts w:ascii="Times New Roman" w:hAnsi="Times New Roman" w:cs="Times New Roman"/>
        </w:rPr>
        <w:t>, 62 D.C. Reg. 16511, Slip. Op. No. 1552 at 10, PERB Case No. 09-U-34 (2015)).</w:t>
      </w:r>
    </w:p>
  </w:footnote>
  <w:footnote w:id="17">
    <w:p w14:paraId="49FFFD4C" w14:textId="77777777" w:rsidR="00BB4D50" w:rsidRPr="00B46565" w:rsidRDefault="00BB4D50"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Appeal at 3.</w:t>
      </w:r>
    </w:p>
  </w:footnote>
  <w:footnote w:id="18">
    <w:p w14:paraId="390A6D74" w14:textId="5BB472A2" w:rsidR="00D8417D" w:rsidRPr="00B46565" w:rsidRDefault="00D8417D"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D.C. Official Code §</w:t>
      </w:r>
      <w:r w:rsidRPr="00B46565">
        <w:rPr>
          <w:rFonts w:ascii="Times New Roman" w:eastAsia="Calibri" w:hAnsi="Times New Roman" w:cs="Times New Roman"/>
        </w:rPr>
        <w:t>1-617.08(a).</w:t>
      </w:r>
    </w:p>
  </w:footnote>
  <w:footnote w:id="19">
    <w:p w14:paraId="6015DD12" w14:textId="77777777" w:rsidR="00D8417D" w:rsidRPr="00B46565" w:rsidRDefault="00D8417D"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Answer at 6.</w:t>
      </w:r>
    </w:p>
  </w:footnote>
  <w:footnote w:id="20">
    <w:p w14:paraId="602AC03F" w14:textId="081A304B" w:rsidR="00F15BB0" w:rsidRPr="00B46565" w:rsidRDefault="00F15BB0"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iCs/>
        </w:rPr>
        <w:t>AFGE, Local 1403 v. D.C. Office of Corp. Counsel</w:t>
      </w:r>
      <w:r w:rsidRPr="00B46565">
        <w:rPr>
          <w:rFonts w:ascii="Times New Roman" w:hAnsi="Times New Roman" w:cs="Times New Roman"/>
        </w:rPr>
        <w:t>, Slip Op. No. 709 at 4, PERB Case No. 03-N-02 (2003).</w:t>
      </w:r>
    </w:p>
  </w:footnote>
  <w:footnote w:id="21">
    <w:p w14:paraId="2A5C0AE8" w14:textId="77777777" w:rsidR="00B46565" w:rsidRPr="00B46565" w:rsidRDefault="00B46565"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iCs/>
        </w:rPr>
        <w:t>Id.</w:t>
      </w:r>
      <w:r w:rsidRPr="00B46565">
        <w:rPr>
          <w:rFonts w:ascii="Times New Roman" w:hAnsi="Times New Roman" w:cs="Times New Roman"/>
        </w:rPr>
        <w:t xml:space="preserve"> at 4-5.</w:t>
      </w:r>
    </w:p>
  </w:footnote>
  <w:footnote w:id="22">
    <w:p w14:paraId="076D6927" w14:textId="331F3F49" w:rsidR="00B46565" w:rsidRPr="006B5146" w:rsidRDefault="00B46565"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iCs/>
        </w:rPr>
        <w:t>Id.</w:t>
      </w:r>
    </w:p>
  </w:footnote>
  <w:footnote w:id="23">
    <w:p w14:paraId="083C4026" w14:textId="74475245" w:rsidR="0078561E" w:rsidRPr="006B5146" w:rsidRDefault="0078561E" w:rsidP="006B5146">
      <w:pPr>
        <w:pStyle w:val="FootnoteText"/>
        <w:jc w:val="both"/>
        <w:rPr>
          <w:rFonts w:ascii="Times New Roman" w:hAnsi="Times New Roman" w:cs="Times New Roman"/>
        </w:rPr>
      </w:pPr>
      <w:r w:rsidRPr="006B5146">
        <w:rPr>
          <w:rStyle w:val="FootnoteReference"/>
          <w:rFonts w:ascii="Times New Roman" w:hAnsi="Times New Roman" w:cs="Times New Roman"/>
        </w:rPr>
        <w:footnoteRef/>
      </w:r>
      <w:r w:rsidRPr="006B5146">
        <w:rPr>
          <w:rFonts w:ascii="Times New Roman" w:hAnsi="Times New Roman" w:cs="Times New Roman"/>
        </w:rPr>
        <w:t xml:space="preserve"> The regulations at issue currently address potential conflicts with labor agreements. </w:t>
      </w:r>
      <w:r w:rsidRPr="0078561E">
        <w:rPr>
          <w:rFonts w:ascii="Times New Roman" w:hAnsi="Times New Roman" w:cs="Times New Roman"/>
        </w:rPr>
        <w:t xml:space="preserve">6-B DCMR § 401.3 provides that </w:t>
      </w:r>
      <w:r w:rsidR="00556CC9">
        <w:rPr>
          <w:rFonts w:ascii="Times New Roman" w:hAnsi="Times New Roman" w:cs="Times New Roman"/>
        </w:rPr>
        <w:t>“[</w:t>
      </w:r>
      <w:r w:rsidRPr="0078561E">
        <w:rPr>
          <w:rFonts w:ascii="Times New Roman" w:hAnsi="Times New Roman" w:cs="Times New Roman"/>
        </w:rPr>
        <w:t>n</w:t>
      </w:r>
      <w:r w:rsidR="00556CC9">
        <w:rPr>
          <w:rFonts w:ascii="Times New Roman" w:hAnsi="Times New Roman" w:cs="Times New Roman"/>
        </w:rPr>
        <w:t>]</w:t>
      </w:r>
      <w:proofErr w:type="spellStart"/>
      <w:r w:rsidRPr="0078561E">
        <w:rPr>
          <w:rFonts w:ascii="Times New Roman" w:hAnsi="Times New Roman" w:cs="Times New Roman"/>
        </w:rPr>
        <w:t>egotiated</w:t>
      </w:r>
      <w:proofErr w:type="spellEnd"/>
      <w:r w:rsidRPr="0078561E">
        <w:rPr>
          <w:rFonts w:ascii="Times New Roman" w:hAnsi="Times New Roman" w:cs="Times New Roman"/>
        </w:rPr>
        <w:t xml:space="preserve"> labor agreements shall be read to give effect to this chapter to the fullest extent possible. However, in the case of an irreconcilable conflict, a labor agreement shall control with respect to the specific conflict.</w:t>
      </w:r>
      <w:r w:rsidR="00556CC9">
        <w:rPr>
          <w:rFonts w:ascii="Times New Roman" w:hAnsi="Times New Roman" w:cs="Times New Roman"/>
        </w:rPr>
        <w:t>”</w:t>
      </w:r>
    </w:p>
  </w:footnote>
  <w:footnote w:id="24">
    <w:p w14:paraId="00A789AD" w14:textId="588A3199" w:rsidR="00D8417D" w:rsidRPr="00B46565" w:rsidRDefault="00D8417D" w:rsidP="007C425A">
      <w:pPr>
        <w:pStyle w:val="FootnoteText"/>
        <w:tabs>
          <w:tab w:val="left" w:pos="2550"/>
        </w:tabs>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Appeal, Exhibit 5.</w:t>
      </w:r>
      <w:r w:rsidR="007C425A">
        <w:rPr>
          <w:rFonts w:ascii="Times New Roman" w:hAnsi="Times New Roman" w:cs="Times New Roman"/>
        </w:rPr>
        <w:tab/>
      </w:r>
    </w:p>
  </w:footnote>
  <w:footnote w:id="25">
    <w:p w14:paraId="4554243E" w14:textId="7DEEAA2F" w:rsidR="007C425A" w:rsidRPr="007C425A" w:rsidRDefault="007C425A" w:rsidP="007C425A">
      <w:pPr>
        <w:pStyle w:val="FootnoteText"/>
        <w:jc w:val="both"/>
        <w:rPr>
          <w:rFonts w:ascii="Times New Roman" w:hAnsi="Times New Roman" w:cs="Times New Roman"/>
        </w:rPr>
      </w:pPr>
      <w:r w:rsidRPr="007C425A">
        <w:rPr>
          <w:rStyle w:val="FootnoteReference"/>
          <w:rFonts w:ascii="Times New Roman" w:hAnsi="Times New Roman" w:cs="Times New Roman"/>
        </w:rPr>
        <w:footnoteRef/>
      </w:r>
      <w:r w:rsidRPr="007C425A">
        <w:rPr>
          <w:rFonts w:ascii="Times New Roman" w:hAnsi="Times New Roman" w:cs="Times New Roman"/>
        </w:rPr>
        <w:t xml:space="preserve"> The Union did not allege in its Appeal that the Agency declared its revised proposal nonnegotiable. </w:t>
      </w:r>
    </w:p>
  </w:footnote>
  <w:footnote w:id="26">
    <w:p w14:paraId="36595CC8" w14:textId="4AFD5014" w:rsidR="00D8417D" w:rsidRPr="00B46565" w:rsidRDefault="00D8417D"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Restatement (Second) of Contracts § 42 (1981) (“An offeree’s power of acceptance is terminated when the offeree receives from the offeror a manifestation of an intention not to enter into the proposed contract</w:t>
      </w:r>
      <w:r w:rsidR="00ED024B">
        <w:rPr>
          <w:rFonts w:ascii="Times New Roman" w:hAnsi="Times New Roman" w:cs="Times New Roman"/>
        </w:rPr>
        <w:t>.</w:t>
      </w:r>
      <w:r w:rsidRPr="00B46565">
        <w:rPr>
          <w:rFonts w:ascii="Times New Roman" w:hAnsi="Times New Roman" w:cs="Times New Roman"/>
        </w:rPr>
        <w:t>”).</w:t>
      </w:r>
    </w:p>
  </w:footnote>
  <w:footnote w:id="27">
    <w:p w14:paraId="505AB579" w14:textId="77777777" w:rsidR="00ED024B" w:rsidRPr="00B46565" w:rsidRDefault="00ED024B"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w:t>
      </w:r>
      <w:r w:rsidRPr="00B46565">
        <w:rPr>
          <w:rFonts w:ascii="Times New Roman" w:hAnsi="Times New Roman" w:cs="Times New Roman"/>
          <w:i/>
          <w:iCs/>
        </w:rPr>
        <w:t>See,</w:t>
      </w:r>
      <w:r w:rsidRPr="00B46565">
        <w:rPr>
          <w:rFonts w:ascii="Times New Roman" w:hAnsi="Times New Roman" w:cs="Times New Roman"/>
        </w:rPr>
        <w:t xml:space="preserve"> </w:t>
      </w:r>
      <w:r w:rsidRPr="00B46565">
        <w:rPr>
          <w:rFonts w:ascii="Times New Roman" w:hAnsi="Times New Roman" w:cs="Times New Roman"/>
          <w:i/>
          <w:iCs/>
        </w:rPr>
        <w:t>IAFF, Local 36 v. FEMS</w:t>
      </w:r>
      <w:r w:rsidRPr="00B46565">
        <w:rPr>
          <w:rFonts w:ascii="Times New Roman" w:hAnsi="Times New Roman" w:cs="Times New Roman"/>
        </w:rPr>
        <w:t>, Slip Op. No. 754 at 2, PERB Case No. 04-N-02 (2004).</w:t>
      </w:r>
    </w:p>
  </w:footnote>
  <w:footnote w:id="28">
    <w:p w14:paraId="6F8FF38E" w14:textId="4D28AC4F" w:rsidR="006F5CD2" w:rsidRPr="00B46565" w:rsidRDefault="006F5CD2"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Answer at </w:t>
      </w:r>
      <w:r w:rsidR="001C7DA3" w:rsidRPr="00B46565">
        <w:rPr>
          <w:rFonts w:ascii="Times New Roman" w:hAnsi="Times New Roman" w:cs="Times New Roman"/>
        </w:rPr>
        <w:t>11</w:t>
      </w:r>
      <w:r w:rsidRPr="00B46565">
        <w:rPr>
          <w:rFonts w:ascii="Times New Roman" w:hAnsi="Times New Roman" w:cs="Times New Roman"/>
        </w:rPr>
        <w:t>.</w:t>
      </w:r>
    </w:p>
  </w:footnote>
  <w:footnote w:id="29">
    <w:p w14:paraId="1EAA0EAE" w14:textId="7758C196" w:rsidR="001C7DA3" w:rsidRPr="00B46565" w:rsidRDefault="001C7DA3" w:rsidP="007C425A">
      <w:pPr>
        <w:pStyle w:val="FootnoteText"/>
        <w:jc w:val="both"/>
        <w:rPr>
          <w:rFonts w:ascii="Times New Roman" w:hAnsi="Times New Roman" w:cs="Times New Roman"/>
        </w:rPr>
      </w:pPr>
      <w:r w:rsidRPr="00B46565">
        <w:rPr>
          <w:rStyle w:val="FootnoteReference"/>
          <w:rFonts w:ascii="Times New Roman" w:hAnsi="Times New Roman" w:cs="Times New Roman"/>
        </w:rPr>
        <w:footnoteRef/>
      </w:r>
      <w:r w:rsidRPr="00B46565">
        <w:rPr>
          <w:rFonts w:ascii="Times New Roman" w:hAnsi="Times New Roman" w:cs="Times New Roman"/>
        </w:rPr>
        <w:t xml:space="preserve"> Appeal at 4.</w:t>
      </w:r>
    </w:p>
  </w:footnote>
  <w:footnote w:id="30">
    <w:p w14:paraId="7B3B3078" w14:textId="53012AE7" w:rsidR="00B46565" w:rsidRPr="003E75C5" w:rsidRDefault="00B46565" w:rsidP="007C425A">
      <w:pPr>
        <w:pStyle w:val="FootnoteText"/>
        <w:jc w:val="both"/>
        <w:rPr>
          <w:rFonts w:ascii="Times New Roman" w:hAnsi="Times New Roman" w:cs="Times New Roman"/>
        </w:rPr>
      </w:pPr>
      <w:r w:rsidRPr="003E75C5">
        <w:rPr>
          <w:rStyle w:val="FootnoteReference"/>
          <w:rFonts w:ascii="Times New Roman" w:hAnsi="Times New Roman" w:cs="Times New Roman"/>
        </w:rPr>
        <w:footnoteRef/>
      </w:r>
      <w:r w:rsidRPr="003E75C5">
        <w:rPr>
          <w:rFonts w:ascii="Times New Roman" w:hAnsi="Times New Roman" w:cs="Times New Roman"/>
        </w:rPr>
        <w:t xml:space="preserve"> </w:t>
      </w:r>
      <w:r w:rsidR="00834AEC" w:rsidRPr="00834AEC">
        <w:rPr>
          <w:rFonts w:ascii="Times New Roman" w:hAnsi="Times New Roman" w:cs="Times New Roman"/>
          <w:i/>
          <w:iCs/>
        </w:rPr>
        <w:t>See</w:t>
      </w:r>
      <w:r w:rsidR="00834AEC">
        <w:rPr>
          <w:rFonts w:ascii="Times New Roman" w:hAnsi="Times New Roman" w:cs="Times New Roman"/>
        </w:rPr>
        <w:t xml:space="preserve"> Appeal Exhibit 4.</w:t>
      </w:r>
    </w:p>
  </w:footnote>
  <w:footnote w:id="31">
    <w:p w14:paraId="1D644219" w14:textId="0D5DB399" w:rsidR="007C425A" w:rsidRDefault="007C425A" w:rsidP="007C425A">
      <w:pPr>
        <w:pStyle w:val="FootnoteText"/>
        <w:jc w:val="both"/>
      </w:pPr>
      <w:r w:rsidRPr="007C425A">
        <w:rPr>
          <w:rStyle w:val="FootnoteReference"/>
          <w:rFonts w:ascii="Times New Roman" w:hAnsi="Times New Roman" w:cs="Times New Roman"/>
        </w:rPr>
        <w:footnoteRef/>
      </w:r>
      <w:r w:rsidRPr="007C425A">
        <w:rPr>
          <w:rFonts w:ascii="Times New Roman" w:hAnsi="Times New Roman" w:cs="Times New Roman"/>
        </w:rPr>
        <w:t xml:space="preserve"> </w:t>
      </w:r>
      <w:r w:rsidRPr="00C47957">
        <w:rPr>
          <w:rFonts w:ascii="Times New Roman" w:hAnsi="Times New Roman" w:cs="Times New Roman"/>
        </w:rPr>
        <w:t>The Union did not allege in its Appeal that the Agency declared its revised proposal nonnegotiable</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82E45" w14:textId="77777777" w:rsidR="0092471E" w:rsidRDefault="0092471E" w:rsidP="003E75C5">
    <w:pPr>
      <w:pStyle w:val="Header"/>
      <w:ind w:firstLine="0"/>
    </w:pPr>
    <w:r>
      <w:t>Decision and Order</w:t>
    </w:r>
  </w:p>
  <w:p w14:paraId="30B3FD89" w14:textId="0AD10381" w:rsidR="0092471E" w:rsidRDefault="0092471E" w:rsidP="003E75C5">
    <w:pPr>
      <w:pStyle w:val="Header"/>
      <w:ind w:firstLine="0"/>
    </w:pPr>
    <w:r>
      <w:t>PERB Case No. 21-N-04</w:t>
    </w:r>
  </w:p>
  <w:p w14:paraId="04123CFA" w14:textId="77777777" w:rsidR="0092471E" w:rsidRDefault="0092471E" w:rsidP="003E75C5">
    <w:pPr>
      <w:pStyle w:val="Header"/>
      <w:ind w:firstLine="0"/>
    </w:pPr>
    <w:r>
      <w:t xml:space="preserve">Page </w:t>
    </w:r>
    <w:sdt>
      <w:sdtPr>
        <w:id w:val="-696391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58C4">
          <w:rPr>
            <w:noProof/>
          </w:rPr>
          <w:t>5</w:t>
        </w:r>
        <w:r>
          <w:rPr>
            <w:noProof/>
          </w:rPr>
          <w:fldChar w:fldCharType="end"/>
        </w:r>
      </w:sdtContent>
    </w:sdt>
  </w:p>
  <w:p w14:paraId="4AB9EBE1" w14:textId="77777777" w:rsidR="0092471E" w:rsidRDefault="0092471E" w:rsidP="00AD2D1E">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1DB5F" w14:textId="77777777" w:rsidR="001F762D" w:rsidRDefault="001F762D" w:rsidP="001F762D">
    <w:pPr>
      <w:pStyle w:val="Header"/>
      <w:ind w:firstLine="0"/>
    </w:pPr>
    <w:r>
      <w:t>Decision and Order</w:t>
    </w:r>
  </w:p>
  <w:p w14:paraId="6FBF2159" w14:textId="1EB5DB6A" w:rsidR="001F762D" w:rsidRDefault="001F762D" w:rsidP="001F762D">
    <w:pPr>
      <w:pStyle w:val="Header"/>
      <w:ind w:firstLine="0"/>
    </w:pPr>
    <w:r>
      <w:t>PERB Case No. 21-N-0</w:t>
    </w:r>
    <w:r w:rsidR="004C5953">
      <w:t>4</w:t>
    </w:r>
  </w:p>
  <w:p w14:paraId="18BD55AC" w14:textId="4A52AE3F" w:rsidR="001F762D" w:rsidRDefault="001F762D" w:rsidP="001F762D">
    <w:pPr>
      <w:pStyle w:val="Header"/>
      <w:ind w:firstLine="0"/>
    </w:pPr>
    <w:r>
      <w:t xml:space="preserve">Page </w:t>
    </w:r>
    <w:sdt>
      <w:sdtPr>
        <w:id w:val="-2045610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5B37BD" w14:textId="06437161" w:rsidR="001F762D" w:rsidRDefault="001F762D" w:rsidP="001F762D">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917F5"/>
    <w:multiLevelType w:val="hybridMultilevel"/>
    <w:tmpl w:val="6E948E6A"/>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5447B7"/>
    <w:multiLevelType w:val="hybridMultilevel"/>
    <w:tmpl w:val="A2FAF0A6"/>
    <w:lvl w:ilvl="0" w:tplc="D026FB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69278FC"/>
    <w:multiLevelType w:val="hybridMultilevel"/>
    <w:tmpl w:val="46D49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6F30E3"/>
    <w:multiLevelType w:val="hybridMultilevel"/>
    <w:tmpl w:val="C7885504"/>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604EB2"/>
    <w:multiLevelType w:val="hybridMultilevel"/>
    <w:tmpl w:val="0CB6ECBA"/>
    <w:lvl w:ilvl="0" w:tplc="F59850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494551"/>
    <w:multiLevelType w:val="hybridMultilevel"/>
    <w:tmpl w:val="E69CA090"/>
    <w:lvl w:ilvl="0" w:tplc="EA7C33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1FB7A35"/>
    <w:multiLevelType w:val="hybridMultilevel"/>
    <w:tmpl w:val="6E948E6A"/>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4C3757A"/>
    <w:multiLevelType w:val="hybridMultilevel"/>
    <w:tmpl w:val="A9525DC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9137230"/>
    <w:multiLevelType w:val="hybridMultilevel"/>
    <w:tmpl w:val="627450A8"/>
    <w:lvl w:ilvl="0" w:tplc="FE78C766">
      <w:start w:val="1"/>
      <w:numFmt w:val="upperRoman"/>
      <w:lvlText w:val="%1."/>
      <w:lvlJc w:val="left"/>
      <w:pPr>
        <w:ind w:left="1080" w:hanging="720"/>
      </w:p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D4A24BC"/>
    <w:multiLevelType w:val="hybridMultilevel"/>
    <w:tmpl w:val="E0EC59C0"/>
    <w:lvl w:ilvl="0" w:tplc="0C2C63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7957A65"/>
    <w:multiLevelType w:val="hybridMultilevel"/>
    <w:tmpl w:val="1876B96A"/>
    <w:lvl w:ilvl="0" w:tplc="89D2C4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91E7C87"/>
    <w:multiLevelType w:val="hybridMultilevel"/>
    <w:tmpl w:val="D790687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82B07"/>
    <w:multiLevelType w:val="hybridMultilevel"/>
    <w:tmpl w:val="7B10B77E"/>
    <w:lvl w:ilvl="0" w:tplc="D71C054C">
      <w:start w:val="1"/>
      <w:numFmt w:val="upp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E197595"/>
    <w:multiLevelType w:val="hybridMultilevel"/>
    <w:tmpl w:val="D15C6CAE"/>
    <w:lvl w:ilvl="0" w:tplc="C4AA5D7E">
      <w:start w:val="1"/>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B91290"/>
    <w:multiLevelType w:val="hybridMultilevel"/>
    <w:tmpl w:val="9B408742"/>
    <w:lvl w:ilvl="0" w:tplc="FDD2E97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76EE4E11"/>
    <w:multiLevelType w:val="hybridMultilevel"/>
    <w:tmpl w:val="C7885504"/>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A817C84"/>
    <w:multiLevelType w:val="hybridMultilevel"/>
    <w:tmpl w:val="92067ACA"/>
    <w:lvl w:ilvl="0" w:tplc="9C5AB5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B110B6D"/>
    <w:multiLevelType w:val="hybridMultilevel"/>
    <w:tmpl w:val="0514319C"/>
    <w:lvl w:ilvl="0" w:tplc="AFCEDE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BB82132"/>
    <w:multiLevelType w:val="hybridMultilevel"/>
    <w:tmpl w:val="6E948E6A"/>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D45516"/>
    <w:multiLevelType w:val="hybridMultilevel"/>
    <w:tmpl w:val="C7885504"/>
    <w:lvl w:ilvl="0" w:tplc="D32A99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
  </w:num>
  <w:num w:numId="3">
    <w:abstractNumId w:val="13"/>
  </w:num>
  <w:num w:numId="4">
    <w:abstractNumId w:val="12"/>
  </w:num>
  <w:num w:numId="5">
    <w:abstractNumId w:val="11"/>
  </w:num>
  <w:num w:numId="6">
    <w:abstractNumId w:val="3"/>
  </w:num>
  <w:num w:numId="7">
    <w:abstractNumId w:val="7"/>
  </w:num>
  <w:num w:numId="8">
    <w:abstractNumId w:val="10"/>
  </w:num>
  <w:num w:numId="9">
    <w:abstractNumId w:val="1"/>
  </w:num>
  <w:num w:numId="10">
    <w:abstractNumId w:val="4"/>
  </w:num>
  <w:num w:numId="11">
    <w:abstractNumId w:val="16"/>
  </w:num>
  <w:num w:numId="12">
    <w:abstractNumId w:val="17"/>
  </w:num>
  <w:num w:numId="13">
    <w:abstractNumId w:val="5"/>
  </w:num>
  <w:num w:numId="14">
    <w:abstractNumId w:val="9"/>
  </w:num>
  <w:num w:numId="15">
    <w:abstractNumId w:val="15"/>
  </w:num>
  <w:num w:numId="16">
    <w:abstractNumId w:val="19"/>
  </w:num>
  <w:num w:numId="17">
    <w:abstractNumId w:val="6"/>
  </w:num>
  <w:num w:numId="18">
    <w:abstractNumId w:val="14"/>
  </w:num>
  <w:num w:numId="19">
    <w:abstractNumId w:val="18"/>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7D2"/>
    <w:rsid w:val="000050F8"/>
    <w:rsid w:val="00007E5D"/>
    <w:rsid w:val="000172EC"/>
    <w:rsid w:val="00022F83"/>
    <w:rsid w:val="00022FF9"/>
    <w:rsid w:val="00023D14"/>
    <w:rsid w:val="00031396"/>
    <w:rsid w:val="00032775"/>
    <w:rsid w:val="00035119"/>
    <w:rsid w:val="00037598"/>
    <w:rsid w:val="00040330"/>
    <w:rsid w:val="00046DB1"/>
    <w:rsid w:val="00052E74"/>
    <w:rsid w:val="00065E15"/>
    <w:rsid w:val="000A1D67"/>
    <w:rsid w:val="000A4D9A"/>
    <w:rsid w:val="000B0A81"/>
    <w:rsid w:val="000B310B"/>
    <w:rsid w:val="000C3F60"/>
    <w:rsid w:val="000D2A23"/>
    <w:rsid w:val="000E4540"/>
    <w:rsid w:val="000F4E6E"/>
    <w:rsid w:val="000F58C4"/>
    <w:rsid w:val="000F5C28"/>
    <w:rsid w:val="00100989"/>
    <w:rsid w:val="00103DEC"/>
    <w:rsid w:val="00107192"/>
    <w:rsid w:val="001203BB"/>
    <w:rsid w:val="00121321"/>
    <w:rsid w:val="00127E2E"/>
    <w:rsid w:val="00141B4B"/>
    <w:rsid w:val="001463C2"/>
    <w:rsid w:val="0015014E"/>
    <w:rsid w:val="00163D72"/>
    <w:rsid w:val="00167E00"/>
    <w:rsid w:val="0017498A"/>
    <w:rsid w:val="001766D0"/>
    <w:rsid w:val="00180111"/>
    <w:rsid w:val="0018241A"/>
    <w:rsid w:val="001852CE"/>
    <w:rsid w:val="001946FE"/>
    <w:rsid w:val="0019649F"/>
    <w:rsid w:val="001A15BC"/>
    <w:rsid w:val="001B250A"/>
    <w:rsid w:val="001C1CC4"/>
    <w:rsid w:val="001C287C"/>
    <w:rsid w:val="001C351B"/>
    <w:rsid w:val="001C6F36"/>
    <w:rsid w:val="001C7DA3"/>
    <w:rsid w:val="001E4A77"/>
    <w:rsid w:val="001F762D"/>
    <w:rsid w:val="00215B94"/>
    <w:rsid w:val="002177F8"/>
    <w:rsid w:val="002445CC"/>
    <w:rsid w:val="00246518"/>
    <w:rsid w:val="002479A1"/>
    <w:rsid w:val="00250141"/>
    <w:rsid w:val="00252B11"/>
    <w:rsid w:val="002635C1"/>
    <w:rsid w:val="00266418"/>
    <w:rsid w:val="002666C0"/>
    <w:rsid w:val="00271BC0"/>
    <w:rsid w:val="00272876"/>
    <w:rsid w:val="0027759D"/>
    <w:rsid w:val="00292F8D"/>
    <w:rsid w:val="002939B3"/>
    <w:rsid w:val="002A6577"/>
    <w:rsid w:val="002A75DC"/>
    <w:rsid w:val="002C1FFA"/>
    <w:rsid w:val="002C37D2"/>
    <w:rsid w:val="002C4E60"/>
    <w:rsid w:val="002E4AD6"/>
    <w:rsid w:val="002F02CE"/>
    <w:rsid w:val="002F3F29"/>
    <w:rsid w:val="0030289E"/>
    <w:rsid w:val="00312AE8"/>
    <w:rsid w:val="00322CA1"/>
    <w:rsid w:val="0032598F"/>
    <w:rsid w:val="00355C32"/>
    <w:rsid w:val="003621EF"/>
    <w:rsid w:val="00367B70"/>
    <w:rsid w:val="003816B1"/>
    <w:rsid w:val="003B3E4F"/>
    <w:rsid w:val="003C6D74"/>
    <w:rsid w:val="003E116E"/>
    <w:rsid w:val="003E75C5"/>
    <w:rsid w:val="003E7996"/>
    <w:rsid w:val="003F14D5"/>
    <w:rsid w:val="003F410A"/>
    <w:rsid w:val="003F52CE"/>
    <w:rsid w:val="003F5364"/>
    <w:rsid w:val="00403FB7"/>
    <w:rsid w:val="00404C71"/>
    <w:rsid w:val="00405ACC"/>
    <w:rsid w:val="00412526"/>
    <w:rsid w:val="0041320B"/>
    <w:rsid w:val="0041684F"/>
    <w:rsid w:val="00421965"/>
    <w:rsid w:val="004317BB"/>
    <w:rsid w:val="00433683"/>
    <w:rsid w:val="00446883"/>
    <w:rsid w:val="00465DA0"/>
    <w:rsid w:val="00480CE4"/>
    <w:rsid w:val="00497256"/>
    <w:rsid w:val="004A2986"/>
    <w:rsid w:val="004B34C8"/>
    <w:rsid w:val="004B6BC5"/>
    <w:rsid w:val="004C5953"/>
    <w:rsid w:val="004D66AF"/>
    <w:rsid w:val="004D7615"/>
    <w:rsid w:val="004F3790"/>
    <w:rsid w:val="004F59BA"/>
    <w:rsid w:val="004F7F79"/>
    <w:rsid w:val="005031C2"/>
    <w:rsid w:val="00507E32"/>
    <w:rsid w:val="005109C3"/>
    <w:rsid w:val="005252B8"/>
    <w:rsid w:val="00530F36"/>
    <w:rsid w:val="00534343"/>
    <w:rsid w:val="005538FD"/>
    <w:rsid w:val="00556CC9"/>
    <w:rsid w:val="00565EEC"/>
    <w:rsid w:val="00566689"/>
    <w:rsid w:val="00574A38"/>
    <w:rsid w:val="00575552"/>
    <w:rsid w:val="005918AD"/>
    <w:rsid w:val="00592301"/>
    <w:rsid w:val="0059387B"/>
    <w:rsid w:val="005A4468"/>
    <w:rsid w:val="005A5ED0"/>
    <w:rsid w:val="005A75EE"/>
    <w:rsid w:val="005B24E5"/>
    <w:rsid w:val="005B5864"/>
    <w:rsid w:val="005B5ECD"/>
    <w:rsid w:val="005C235D"/>
    <w:rsid w:val="005C23E4"/>
    <w:rsid w:val="005C75C2"/>
    <w:rsid w:val="005D4B1F"/>
    <w:rsid w:val="005E2D3E"/>
    <w:rsid w:val="005E3EB3"/>
    <w:rsid w:val="00606C31"/>
    <w:rsid w:val="00613067"/>
    <w:rsid w:val="00613366"/>
    <w:rsid w:val="006170F0"/>
    <w:rsid w:val="006207C5"/>
    <w:rsid w:val="0062746B"/>
    <w:rsid w:val="00640455"/>
    <w:rsid w:val="00640E7C"/>
    <w:rsid w:val="006617B0"/>
    <w:rsid w:val="00662210"/>
    <w:rsid w:val="00666033"/>
    <w:rsid w:val="00685ECE"/>
    <w:rsid w:val="00693980"/>
    <w:rsid w:val="00694441"/>
    <w:rsid w:val="006A4A44"/>
    <w:rsid w:val="006B4220"/>
    <w:rsid w:val="006B5146"/>
    <w:rsid w:val="006B6797"/>
    <w:rsid w:val="006C06B5"/>
    <w:rsid w:val="006C427D"/>
    <w:rsid w:val="006C4BDE"/>
    <w:rsid w:val="006D7BB5"/>
    <w:rsid w:val="006F31BE"/>
    <w:rsid w:val="006F4CCB"/>
    <w:rsid w:val="006F5CD2"/>
    <w:rsid w:val="006F78B6"/>
    <w:rsid w:val="00701F55"/>
    <w:rsid w:val="00702423"/>
    <w:rsid w:val="0070446E"/>
    <w:rsid w:val="00706643"/>
    <w:rsid w:val="00710AF9"/>
    <w:rsid w:val="00711A97"/>
    <w:rsid w:val="00712387"/>
    <w:rsid w:val="0071760C"/>
    <w:rsid w:val="0072229E"/>
    <w:rsid w:val="00730C9D"/>
    <w:rsid w:val="00730DAC"/>
    <w:rsid w:val="00730E2B"/>
    <w:rsid w:val="0073225F"/>
    <w:rsid w:val="007322D0"/>
    <w:rsid w:val="0073356F"/>
    <w:rsid w:val="007338F6"/>
    <w:rsid w:val="007454DF"/>
    <w:rsid w:val="007472F3"/>
    <w:rsid w:val="007627E0"/>
    <w:rsid w:val="00767D3D"/>
    <w:rsid w:val="00773EA8"/>
    <w:rsid w:val="00775FE7"/>
    <w:rsid w:val="00776FBA"/>
    <w:rsid w:val="00780722"/>
    <w:rsid w:val="00784301"/>
    <w:rsid w:val="0078561E"/>
    <w:rsid w:val="00786734"/>
    <w:rsid w:val="007960DA"/>
    <w:rsid w:val="007961B4"/>
    <w:rsid w:val="007A7097"/>
    <w:rsid w:val="007B33F7"/>
    <w:rsid w:val="007B41A6"/>
    <w:rsid w:val="007C3D2C"/>
    <w:rsid w:val="007C425A"/>
    <w:rsid w:val="007C59D6"/>
    <w:rsid w:val="007D305C"/>
    <w:rsid w:val="007F232B"/>
    <w:rsid w:val="007F2BFB"/>
    <w:rsid w:val="00806506"/>
    <w:rsid w:val="0081368B"/>
    <w:rsid w:val="00815EF3"/>
    <w:rsid w:val="0081755D"/>
    <w:rsid w:val="00824392"/>
    <w:rsid w:val="00826D30"/>
    <w:rsid w:val="00831451"/>
    <w:rsid w:val="008325D6"/>
    <w:rsid w:val="00834AEC"/>
    <w:rsid w:val="008366EE"/>
    <w:rsid w:val="00844C7F"/>
    <w:rsid w:val="008450AF"/>
    <w:rsid w:val="00847CE4"/>
    <w:rsid w:val="00854285"/>
    <w:rsid w:val="008570DA"/>
    <w:rsid w:val="0086180E"/>
    <w:rsid w:val="008802E9"/>
    <w:rsid w:val="008850FE"/>
    <w:rsid w:val="008902D7"/>
    <w:rsid w:val="00892789"/>
    <w:rsid w:val="00893593"/>
    <w:rsid w:val="008B3C7A"/>
    <w:rsid w:val="008B449C"/>
    <w:rsid w:val="008B44CB"/>
    <w:rsid w:val="008C2253"/>
    <w:rsid w:val="008C5FD1"/>
    <w:rsid w:val="008D13AD"/>
    <w:rsid w:val="008D6A72"/>
    <w:rsid w:val="008F6ADF"/>
    <w:rsid w:val="008F7328"/>
    <w:rsid w:val="009056AC"/>
    <w:rsid w:val="009104F7"/>
    <w:rsid w:val="00912A2A"/>
    <w:rsid w:val="0092471E"/>
    <w:rsid w:val="00933073"/>
    <w:rsid w:val="0095097F"/>
    <w:rsid w:val="0096299F"/>
    <w:rsid w:val="00970C37"/>
    <w:rsid w:val="009849A5"/>
    <w:rsid w:val="009B4406"/>
    <w:rsid w:val="009D3B8E"/>
    <w:rsid w:val="009D6447"/>
    <w:rsid w:val="009F312C"/>
    <w:rsid w:val="00A10778"/>
    <w:rsid w:val="00A1304B"/>
    <w:rsid w:val="00A15646"/>
    <w:rsid w:val="00A16974"/>
    <w:rsid w:val="00A2107A"/>
    <w:rsid w:val="00A22DF7"/>
    <w:rsid w:val="00A2373C"/>
    <w:rsid w:val="00A24328"/>
    <w:rsid w:val="00A2627D"/>
    <w:rsid w:val="00A339FF"/>
    <w:rsid w:val="00A356C9"/>
    <w:rsid w:val="00A4264E"/>
    <w:rsid w:val="00A44F1F"/>
    <w:rsid w:val="00A53BD7"/>
    <w:rsid w:val="00A54C26"/>
    <w:rsid w:val="00A62685"/>
    <w:rsid w:val="00A65069"/>
    <w:rsid w:val="00A67CE9"/>
    <w:rsid w:val="00A773B3"/>
    <w:rsid w:val="00A80F13"/>
    <w:rsid w:val="00A83197"/>
    <w:rsid w:val="00A86CEE"/>
    <w:rsid w:val="00AA1233"/>
    <w:rsid w:val="00AA6F3D"/>
    <w:rsid w:val="00AB22A0"/>
    <w:rsid w:val="00AB3AB4"/>
    <w:rsid w:val="00AB5AAF"/>
    <w:rsid w:val="00AC1E8D"/>
    <w:rsid w:val="00AC4C51"/>
    <w:rsid w:val="00AD2542"/>
    <w:rsid w:val="00AD41F2"/>
    <w:rsid w:val="00AD6D95"/>
    <w:rsid w:val="00AE36AA"/>
    <w:rsid w:val="00AE53E8"/>
    <w:rsid w:val="00AE5DA6"/>
    <w:rsid w:val="00AF59A6"/>
    <w:rsid w:val="00B0051F"/>
    <w:rsid w:val="00B01495"/>
    <w:rsid w:val="00B22021"/>
    <w:rsid w:val="00B24E28"/>
    <w:rsid w:val="00B34AC7"/>
    <w:rsid w:val="00B36D42"/>
    <w:rsid w:val="00B418AB"/>
    <w:rsid w:val="00B429B2"/>
    <w:rsid w:val="00B45652"/>
    <w:rsid w:val="00B46565"/>
    <w:rsid w:val="00B60C68"/>
    <w:rsid w:val="00B63799"/>
    <w:rsid w:val="00B76F95"/>
    <w:rsid w:val="00B82534"/>
    <w:rsid w:val="00BA0189"/>
    <w:rsid w:val="00BA051C"/>
    <w:rsid w:val="00BB220B"/>
    <w:rsid w:val="00BB4D50"/>
    <w:rsid w:val="00BB66D0"/>
    <w:rsid w:val="00BC2328"/>
    <w:rsid w:val="00BC3A23"/>
    <w:rsid w:val="00BD07A7"/>
    <w:rsid w:val="00BD3C91"/>
    <w:rsid w:val="00BD6F42"/>
    <w:rsid w:val="00BE619D"/>
    <w:rsid w:val="00BF330B"/>
    <w:rsid w:val="00BF5BAC"/>
    <w:rsid w:val="00C01CD5"/>
    <w:rsid w:val="00C07DE8"/>
    <w:rsid w:val="00C163BE"/>
    <w:rsid w:val="00C27FAC"/>
    <w:rsid w:val="00C346BE"/>
    <w:rsid w:val="00C37217"/>
    <w:rsid w:val="00C436AD"/>
    <w:rsid w:val="00C60C74"/>
    <w:rsid w:val="00C87BAE"/>
    <w:rsid w:val="00C90941"/>
    <w:rsid w:val="00CB2CAE"/>
    <w:rsid w:val="00CB7F41"/>
    <w:rsid w:val="00CC30A1"/>
    <w:rsid w:val="00CC36BE"/>
    <w:rsid w:val="00CD47FE"/>
    <w:rsid w:val="00CD4FD5"/>
    <w:rsid w:val="00CF2CF1"/>
    <w:rsid w:val="00D06E24"/>
    <w:rsid w:val="00D12EEA"/>
    <w:rsid w:val="00D13125"/>
    <w:rsid w:val="00D13A73"/>
    <w:rsid w:val="00D14358"/>
    <w:rsid w:val="00D3289F"/>
    <w:rsid w:val="00D42047"/>
    <w:rsid w:val="00D42DAF"/>
    <w:rsid w:val="00D43170"/>
    <w:rsid w:val="00D432E5"/>
    <w:rsid w:val="00D45049"/>
    <w:rsid w:val="00D50157"/>
    <w:rsid w:val="00D521F7"/>
    <w:rsid w:val="00D763D7"/>
    <w:rsid w:val="00D80149"/>
    <w:rsid w:val="00D83282"/>
    <w:rsid w:val="00D8417D"/>
    <w:rsid w:val="00D930BD"/>
    <w:rsid w:val="00D971A0"/>
    <w:rsid w:val="00DB3AAA"/>
    <w:rsid w:val="00DB701F"/>
    <w:rsid w:val="00DB7CFD"/>
    <w:rsid w:val="00DC3FBB"/>
    <w:rsid w:val="00DC6B7B"/>
    <w:rsid w:val="00DC6E33"/>
    <w:rsid w:val="00DD12C7"/>
    <w:rsid w:val="00DD1E03"/>
    <w:rsid w:val="00DD253B"/>
    <w:rsid w:val="00DD2961"/>
    <w:rsid w:val="00DD50CC"/>
    <w:rsid w:val="00DF39B9"/>
    <w:rsid w:val="00DF452A"/>
    <w:rsid w:val="00DF527E"/>
    <w:rsid w:val="00E059BD"/>
    <w:rsid w:val="00E0712C"/>
    <w:rsid w:val="00E175B4"/>
    <w:rsid w:val="00E240C7"/>
    <w:rsid w:val="00E31977"/>
    <w:rsid w:val="00E36B40"/>
    <w:rsid w:val="00E607D6"/>
    <w:rsid w:val="00E646AE"/>
    <w:rsid w:val="00E75019"/>
    <w:rsid w:val="00E864B0"/>
    <w:rsid w:val="00E866A3"/>
    <w:rsid w:val="00E86844"/>
    <w:rsid w:val="00E8744E"/>
    <w:rsid w:val="00E874DC"/>
    <w:rsid w:val="00E968E7"/>
    <w:rsid w:val="00EA4559"/>
    <w:rsid w:val="00EB5670"/>
    <w:rsid w:val="00ED024B"/>
    <w:rsid w:val="00ED1E49"/>
    <w:rsid w:val="00ED48B7"/>
    <w:rsid w:val="00EE000D"/>
    <w:rsid w:val="00EE6301"/>
    <w:rsid w:val="00EF32E8"/>
    <w:rsid w:val="00EF3CFB"/>
    <w:rsid w:val="00F0021B"/>
    <w:rsid w:val="00F01E93"/>
    <w:rsid w:val="00F04936"/>
    <w:rsid w:val="00F0493C"/>
    <w:rsid w:val="00F06C8A"/>
    <w:rsid w:val="00F10053"/>
    <w:rsid w:val="00F101A4"/>
    <w:rsid w:val="00F10261"/>
    <w:rsid w:val="00F121D6"/>
    <w:rsid w:val="00F149DA"/>
    <w:rsid w:val="00F15BB0"/>
    <w:rsid w:val="00F25B4F"/>
    <w:rsid w:val="00F31E4D"/>
    <w:rsid w:val="00F46C33"/>
    <w:rsid w:val="00F47070"/>
    <w:rsid w:val="00F50B27"/>
    <w:rsid w:val="00F559D3"/>
    <w:rsid w:val="00F57448"/>
    <w:rsid w:val="00F822DD"/>
    <w:rsid w:val="00F83E87"/>
    <w:rsid w:val="00F84F15"/>
    <w:rsid w:val="00F931AA"/>
    <w:rsid w:val="00F97625"/>
    <w:rsid w:val="00F97F9B"/>
    <w:rsid w:val="00FA44A5"/>
    <w:rsid w:val="00FB1F72"/>
    <w:rsid w:val="00FB2000"/>
    <w:rsid w:val="00FD561E"/>
    <w:rsid w:val="00FE1574"/>
    <w:rsid w:val="00FE56F5"/>
    <w:rsid w:val="00FF05D5"/>
    <w:rsid w:val="00FF0F0B"/>
    <w:rsid w:val="00FF14A2"/>
    <w:rsid w:val="00FF415F"/>
    <w:rsid w:val="00FF438E"/>
    <w:rsid w:val="00FF4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vertAlign w:val="superscript"/>
        <w:lang w:val="en-US" w:eastAsia="en-US" w:bidi="ar-SA"/>
      </w:rPr>
    </w:rPrDefault>
    <w:pPrDefault>
      <w:pPr>
        <w:spacing w:after="160" w:line="257"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C33"/>
    <w:rPr>
      <w:sz w:val="24"/>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37D2"/>
    <w:pPr>
      <w:spacing w:after="0" w:line="240" w:lineRule="auto"/>
      <w:ind w:firstLine="0"/>
      <w:jc w:val="left"/>
    </w:pPr>
    <w:rPr>
      <w:rFonts w:asciiTheme="minorHAnsi" w:hAnsiTheme="minorHAnsi" w:cstheme="minorBidi"/>
      <w:sz w:val="20"/>
    </w:rPr>
  </w:style>
  <w:style w:type="character" w:customStyle="1" w:styleId="FootnoteTextChar">
    <w:name w:val="Footnote Text Char"/>
    <w:basedOn w:val="DefaultParagraphFont"/>
    <w:link w:val="FootnoteText"/>
    <w:uiPriority w:val="99"/>
    <w:semiHidden/>
    <w:rsid w:val="002C37D2"/>
    <w:rPr>
      <w:rFonts w:asciiTheme="minorHAnsi" w:hAnsiTheme="minorHAnsi" w:cstheme="minorBidi"/>
      <w:vertAlign w:val="baseline"/>
    </w:rPr>
  </w:style>
  <w:style w:type="character" w:styleId="FootnoteReference">
    <w:name w:val="footnote reference"/>
    <w:basedOn w:val="DefaultParagraphFont"/>
    <w:uiPriority w:val="99"/>
    <w:semiHidden/>
    <w:unhideWhenUsed/>
    <w:rsid w:val="002C37D2"/>
    <w:rPr>
      <w:vertAlign w:val="superscript"/>
    </w:rPr>
  </w:style>
  <w:style w:type="paragraph" w:styleId="BalloonText">
    <w:name w:val="Balloon Text"/>
    <w:basedOn w:val="Normal"/>
    <w:link w:val="BalloonTextChar"/>
    <w:uiPriority w:val="99"/>
    <w:semiHidden/>
    <w:unhideWhenUsed/>
    <w:rsid w:val="007A70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097"/>
    <w:rPr>
      <w:rFonts w:ascii="Segoe UI" w:hAnsi="Segoe UI" w:cs="Segoe UI"/>
      <w:sz w:val="18"/>
      <w:szCs w:val="18"/>
      <w:vertAlign w:val="baseline"/>
    </w:rPr>
  </w:style>
  <w:style w:type="paragraph" w:styleId="Header">
    <w:name w:val="header"/>
    <w:basedOn w:val="Normal"/>
    <w:link w:val="HeaderChar"/>
    <w:uiPriority w:val="99"/>
    <w:unhideWhenUsed/>
    <w:rsid w:val="00403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FB7"/>
    <w:rPr>
      <w:sz w:val="24"/>
      <w:vertAlign w:val="baseline"/>
    </w:rPr>
  </w:style>
  <w:style w:type="paragraph" w:styleId="Footer">
    <w:name w:val="footer"/>
    <w:basedOn w:val="Normal"/>
    <w:link w:val="FooterChar"/>
    <w:uiPriority w:val="99"/>
    <w:unhideWhenUsed/>
    <w:rsid w:val="00403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FB7"/>
    <w:rPr>
      <w:sz w:val="24"/>
      <w:vertAlign w:val="baseline"/>
    </w:rPr>
  </w:style>
  <w:style w:type="character" w:styleId="CommentReference">
    <w:name w:val="annotation reference"/>
    <w:basedOn w:val="DefaultParagraphFont"/>
    <w:uiPriority w:val="99"/>
    <w:semiHidden/>
    <w:unhideWhenUsed/>
    <w:rsid w:val="00606C31"/>
    <w:rPr>
      <w:sz w:val="16"/>
      <w:szCs w:val="16"/>
    </w:rPr>
  </w:style>
  <w:style w:type="paragraph" w:styleId="CommentText">
    <w:name w:val="annotation text"/>
    <w:basedOn w:val="Normal"/>
    <w:link w:val="CommentTextChar"/>
    <w:uiPriority w:val="99"/>
    <w:unhideWhenUsed/>
    <w:rsid w:val="00606C31"/>
    <w:pPr>
      <w:spacing w:line="240" w:lineRule="auto"/>
    </w:pPr>
    <w:rPr>
      <w:sz w:val="20"/>
    </w:rPr>
  </w:style>
  <w:style w:type="character" w:customStyle="1" w:styleId="CommentTextChar">
    <w:name w:val="Comment Text Char"/>
    <w:basedOn w:val="DefaultParagraphFont"/>
    <w:link w:val="CommentText"/>
    <w:uiPriority w:val="99"/>
    <w:rsid w:val="00606C31"/>
    <w:rPr>
      <w:vertAlign w:val="baseline"/>
    </w:rPr>
  </w:style>
  <w:style w:type="paragraph" w:styleId="CommentSubject">
    <w:name w:val="annotation subject"/>
    <w:basedOn w:val="CommentText"/>
    <w:next w:val="CommentText"/>
    <w:link w:val="CommentSubjectChar"/>
    <w:uiPriority w:val="99"/>
    <w:semiHidden/>
    <w:unhideWhenUsed/>
    <w:rsid w:val="00606C31"/>
    <w:rPr>
      <w:b/>
      <w:bCs/>
    </w:rPr>
  </w:style>
  <w:style w:type="character" w:customStyle="1" w:styleId="CommentSubjectChar">
    <w:name w:val="Comment Subject Char"/>
    <w:basedOn w:val="CommentTextChar"/>
    <w:link w:val="CommentSubject"/>
    <w:uiPriority w:val="99"/>
    <w:semiHidden/>
    <w:rsid w:val="00606C31"/>
    <w:rPr>
      <w:b/>
      <w:bCs/>
      <w:vertAlign w:val="baseline"/>
    </w:rPr>
  </w:style>
  <w:style w:type="paragraph" w:styleId="ListParagraph">
    <w:name w:val="List Paragraph"/>
    <w:basedOn w:val="Normal"/>
    <w:uiPriority w:val="34"/>
    <w:qFormat/>
    <w:rsid w:val="00A426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vertAlign w:val="superscript"/>
        <w:lang w:val="en-US" w:eastAsia="en-US" w:bidi="ar-SA"/>
      </w:rPr>
    </w:rPrDefault>
    <w:pPrDefault>
      <w:pPr>
        <w:spacing w:after="160" w:line="257"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C33"/>
    <w:rPr>
      <w:sz w:val="24"/>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37D2"/>
    <w:pPr>
      <w:spacing w:after="0" w:line="240" w:lineRule="auto"/>
      <w:ind w:firstLine="0"/>
      <w:jc w:val="left"/>
    </w:pPr>
    <w:rPr>
      <w:rFonts w:asciiTheme="minorHAnsi" w:hAnsiTheme="minorHAnsi" w:cstheme="minorBidi"/>
      <w:sz w:val="20"/>
    </w:rPr>
  </w:style>
  <w:style w:type="character" w:customStyle="1" w:styleId="FootnoteTextChar">
    <w:name w:val="Footnote Text Char"/>
    <w:basedOn w:val="DefaultParagraphFont"/>
    <w:link w:val="FootnoteText"/>
    <w:uiPriority w:val="99"/>
    <w:semiHidden/>
    <w:rsid w:val="002C37D2"/>
    <w:rPr>
      <w:rFonts w:asciiTheme="minorHAnsi" w:hAnsiTheme="minorHAnsi" w:cstheme="minorBidi"/>
      <w:vertAlign w:val="baseline"/>
    </w:rPr>
  </w:style>
  <w:style w:type="character" w:styleId="FootnoteReference">
    <w:name w:val="footnote reference"/>
    <w:basedOn w:val="DefaultParagraphFont"/>
    <w:uiPriority w:val="99"/>
    <w:semiHidden/>
    <w:unhideWhenUsed/>
    <w:rsid w:val="002C37D2"/>
    <w:rPr>
      <w:vertAlign w:val="superscript"/>
    </w:rPr>
  </w:style>
  <w:style w:type="paragraph" w:styleId="BalloonText">
    <w:name w:val="Balloon Text"/>
    <w:basedOn w:val="Normal"/>
    <w:link w:val="BalloonTextChar"/>
    <w:uiPriority w:val="99"/>
    <w:semiHidden/>
    <w:unhideWhenUsed/>
    <w:rsid w:val="007A70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097"/>
    <w:rPr>
      <w:rFonts w:ascii="Segoe UI" w:hAnsi="Segoe UI" w:cs="Segoe UI"/>
      <w:sz w:val="18"/>
      <w:szCs w:val="18"/>
      <w:vertAlign w:val="baseline"/>
    </w:rPr>
  </w:style>
  <w:style w:type="paragraph" w:styleId="Header">
    <w:name w:val="header"/>
    <w:basedOn w:val="Normal"/>
    <w:link w:val="HeaderChar"/>
    <w:uiPriority w:val="99"/>
    <w:unhideWhenUsed/>
    <w:rsid w:val="00403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FB7"/>
    <w:rPr>
      <w:sz w:val="24"/>
      <w:vertAlign w:val="baseline"/>
    </w:rPr>
  </w:style>
  <w:style w:type="paragraph" w:styleId="Footer">
    <w:name w:val="footer"/>
    <w:basedOn w:val="Normal"/>
    <w:link w:val="FooterChar"/>
    <w:uiPriority w:val="99"/>
    <w:unhideWhenUsed/>
    <w:rsid w:val="00403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FB7"/>
    <w:rPr>
      <w:sz w:val="24"/>
      <w:vertAlign w:val="baseline"/>
    </w:rPr>
  </w:style>
  <w:style w:type="character" w:styleId="CommentReference">
    <w:name w:val="annotation reference"/>
    <w:basedOn w:val="DefaultParagraphFont"/>
    <w:uiPriority w:val="99"/>
    <w:semiHidden/>
    <w:unhideWhenUsed/>
    <w:rsid w:val="00606C31"/>
    <w:rPr>
      <w:sz w:val="16"/>
      <w:szCs w:val="16"/>
    </w:rPr>
  </w:style>
  <w:style w:type="paragraph" w:styleId="CommentText">
    <w:name w:val="annotation text"/>
    <w:basedOn w:val="Normal"/>
    <w:link w:val="CommentTextChar"/>
    <w:uiPriority w:val="99"/>
    <w:unhideWhenUsed/>
    <w:rsid w:val="00606C31"/>
    <w:pPr>
      <w:spacing w:line="240" w:lineRule="auto"/>
    </w:pPr>
    <w:rPr>
      <w:sz w:val="20"/>
    </w:rPr>
  </w:style>
  <w:style w:type="character" w:customStyle="1" w:styleId="CommentTextChar">
    <w:name w:val="Comment Text Char"/>
    <w:basedOn w:val="DefaultParagraphFont"/>
    <w:link w:val="CommentText"/>
    <w:uiPriority w:val="99"/>
    <w:rsid w:val="00606C31"/>
    <w:rPr>
      <w:vertAlign w:val="baseline"/>
    </w:rPr>
  </w:style>
  <w:style w:type="paragraph" w:styleId="CommentSubject">
    <w:name w:val="annotation subject"/>
    <w:basedOn w:val="CommentText"/>
    <w:next w:val="CommentText"/>
    <w:link w:val="CommentSubjectChar"/>
    <w:uiPriority w:val="99"/>
    <w:semiHidden/>
    <w:unhideWhenUsed/>
    <w:rsid w:val="00606C31"/>
    <w:rPr>
      <w:b/>
      <w:bCs/>
    </w:rPr>
  </w:style>
  <w:style w:type="character" w:customStyle="1" w:styleId="CommentSubjectChar">
    <w:name w:val="Comment Subject Char"/>
    <w:basedOn w:val="CommentTextChar"/>
    <w:link w:val="CommentSubject"/>
    <w:uiPriority w:val="99"/>
    <w:semiHidden/>
    <w:rsid w:val="00606C31"/>
    <w:rPr>
      <w:b/>
      <w:bCs/>
      <w:vertAlign w:val="baseline"/>
    </w:rPr>
  </w:style>
  <w:style w:type="paragraph" w:styleId="ListParagraph">
    <w:name w:val="List Paragraph"/>
    <w:basedOn w:val="Normal"/>
    <w:uiPriority w:val="34"/>
    <w:qFormat/>
    <w:rsid w:val="00A426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938482">
      <w:bodyDiv w:val="1"/>
      <w:marLeft w:val="0"/>
      <w:marRight w:val="0"/>
      <w:marTop w:val="0"/>
      <w:marBottom w:val="0"/>
      <w:divBdr>
        <w:top w:val="none" w:sz="0" w:space="0" w:color="auto"/>
        <w:left w:val="none" w:sz="0" w:space="0" w:color="auto"/>
        <w:bottom w:val="none" w:sz="0" w:space="0" w:color="auto"/>
        <w:right w:val="none" w:sz="0" w:space="0" w:color="auto"/>
      </w:divBdr>
    </w:div>
    <w:div w:id="2015959543">
      <w:bodyDiv w:val="1"/>
      <w:marLeft w:val="0"/>
      <w:marRight w:val="0"/>
      <w:marTop w:val="0"/>
      <w:marBottom w:val="0"/>
      <w:divBdr>
        <w:top w:val="none" w:sz="0" w:space="0" w:color="auto"/>
        <w:left w:val="none" w:sz="0" w:space="0" w:color="auto"/>
        <w:bottom w:val="none" w:sz="0" w:space="0" w:color="auto"/>
        <w:right w:val="none" w:sz="0" w:space="0" w:color="auto"/>
      </w:divBdr>
      <w:divsChild>
        <w:div w:id="919363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51404-42DE-4090-8E51-BE8AB53E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1364</Words>
  <Characters>7781</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9127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Simms, Royale (PERB)</dc:creator>
  <cp:lastModifiedBy>ServUS</cp:lastModifiedBy>
  <cp:revision>2</cp:revision>
  <dcterms:created xsi:type="dcterms:W3CDTF">2021-10-13T14:26:00Z</dcterms:created>
  <dcterms:modified xsi:type="dcterms:W3CDTF">2021-10-13T14:26:00Z</dcterms:modified>
</cp:coreProperties>
</file>