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D33E27" w14:textId="078417AC" w:rsidR="00A83788" w:rsidRPr="00E05788" w:rsidRDefault="00A83788" w:rsidP="00A83788">
      <w:pPr>
        <w:tabs>
          <w:tab w:val="center" w:pos="4680"/>
          <w:tab w:val="right" w:pos="9360"/>
        </w:tabs>
        <w:spacing w:after="0" w:line="240" w:lineRule="auto"/>
        <w:jc w:val="both"/>
        <w:rPr>
          <w:rFonts w:eastAsia="Calibri"/>
          <w:kern w:val="0"/>
          <w:sz w:val="20"/>
          <w:szCs w:val="20"/>
          <w14:ligatures w14:val="none"/>
        </w:rPr>
      </w:pPr>
      <w:r w:rsidRPr="00E05788">
        <w:rPr>
          <w:rFonts w:eastAsia="Calibri"/>
          <w:kern w:val="0"/>
          <w:sz w:val="20"/>
          <w:szCs w:val="20"/>
          <w14:ligatures w14:val="none"/>
        </w:rPr>
        <w:t xml:space="preserve">Notice: This decision may be formally revised </w:t>
      </w:r>
      <w:r w:rsidR="00A91D0A">
        <w:rPr>
          <w:rFonts w:eastAsia="Calibri"/>
          <w:kern w:val="0"/>
          <w:sz w:val="20"/>
          <w:szCs w:val="20"/>
          <w14:ligatures w14:val="none"/>
        </w:rPr>
        <w:t xml:space="preserve">within thirty days of issuance </w:t>
      </w:r>
      <w:r w:rsidRPr="00E05788">
        <w:rPr>
          <w:rFonts w:eastAsia="Calibri"/>
          <w:kern w:val="0"/>
          <w:sz w:val="20"/>
          <w:szCs w:val="20"/>
          <w14:ligatures w14:val="none"/>
        </w:rPr>
        <w:t>before it is published in the District of Columbia Register. Parties should promptly notify this office of any errors so that they may be corrected before publishing the decision. This notice is not intended to provide an opportunity for a substantive challenge to the decision.</w:t>
      </w:r>
    </w:p>
    <w:p w14:paraId="6B042A98" w14:textId="77777777" w:rsidR="00A83788" w:rsidRPr="00E05788" w:rsidRDefault="00A83788" w:rsidP="00A83788">
      <w:pPr>
        <w:widowControl w:val="0"/>
        <w:spacing w:after="0" w:line="240" w:lineRule="auto"/>
        <w:jc w:val="center"/>
        <w:rPr>
          <w:rFonts w:eastAsia="Calibri"/>
          <w:b/>
          <w:bCs/>
          <w:kern w:val="0"/>
          <w14:ligatures w14:val="none"/>
        </w:rPr>
      </w:pPr>
    </w:p>
    <w:p w14:paraId="19E2ED8D" w14:textId="77777777" w:rsidR="00A83788" w:rsidRPr="00E05788" w:rsidRDefault="00A83788" w:rsidP="00A83788">
      <w:pPr>
        <w:widowControl w:val="0"/>
        <w:spacing w:after="0" w:line="240" w:lineRule="auto"/>
        <w:jc w:val="center"/>
        <w:rPr>
          <w:rFonts w:eastAsia="Calibri"/>
          <w:b/>
          <w:bCs/>
          <w:kern w:val="0"/>
          <w14:ligatures w14:val="none"/>
        </w:rPr>
      </w:pPr>
      <w:r w:rsidRPr="00E05788">
        <w:rPr>
          <w:rFonts w:eastAsia="Calibri"/>
          <w:b/>
          <w:bCs/>
          <w:kern w:val="0"/>
          <w14:ligatures w14:val="none"/>
        </w:rPr>
        <w:t xml:space="preserve">Government of the District of Columbia </w:t>
      </w:r>
    </w:p>
    <w:p w14:paraId="31BFF617" w14:textId="77777777" w:rsidR="00A83788" w:rsidRPr="00E05788" w:rsidRDefault="00A83788" w:rsidP="00A83788">
      <w:pPr>
        <w:widowControl w:val="0"/>
        <w:spacing w:after="0" w:line="240" w:lineRule="auto"/>
        <w:jc w:val="center"/>
        <w:rPr>
          <w:rFonts w:eastAsia="Calibri"/>
          <w:b/>
          <w:bCs/>
          <w:kern w:val="0"/>
          <w14:ligatures w14:val="none"/>
        </w:rPr>
      </w:pPr>
      <w:r w:rsidRPr="00E05788">
        <w:rPr>
          <w:rFonts w:eastAsia="Calibri"/>
          <w:b/>
          <w:bCs/>
          <w:kern w:val="0"/>
          <w14:ligatures w14:val="none"/>
        </w:rPr>
        <w:t>Public Employee Relations Board</w:t>
      </w:r>
    </w:p>
    <w:p w14:paraId="2C50AF37" w14:textId="77777777" w:rsidR="00A83788" w:rsidRPr="00E05788" w:rsidRDefault="00A83788" w:rsidP="00A83788">
      <w:pPr>
        <w:widowControl w:val="0"/>
        <w:spacing w:after="0" w:line="240" w:lineRule="auto"/>
        <w:ind w:firstLine="720"/>
        <w:jc w:val="both"/>
        <w:rPr>
          <w:rFonts w:eastAsia="Calibri"/>
          <w:b/>
          <w:bCs/>
          <w:kern w:val="0"/>
          <w14:ligatures w14:val="none"/>
        </w:rPr>
      </w:pPr>
    </w:p>
    <w:p w14:paraId="2E5EA92C" w14:textId="77777777" w:rsidR="00A83788" w:rsidRPr="00E05788" w:rsidRDefault="00A83788" w:rsidP="00A83788">
      <w:pPr>
        <w:widowControl w:val="0"/>
        <w:spacing w:after="0" w:line="240" w:lineRule="auto"/>
        <w:jc w:val="both"/>
        <w:rPr>
          <w:rFonts w:eastAsia="Calibri"/>
          <w:bCs/>
          <w:kern w:val="0"/>
          <w14:ligatures w14:val="none"/>
        </w:rPr>
      </w:pPr>
      <w:r w:rsidRPr="00E05788">
        <w:rPr>
          <w:rFonts w:eastAsia="Calibri"/>
          <w:bCs/>
          <w:kern w:val="0"/>
          <w14:ligatures w14:val="none"/>
        </w:rPr>
        <w:t>_________________________________________</w:t>
      </w:r>
      <w:r w:rsidRPr="00E05788">
        <w:rPr>
          <w:rFonts w:eastAsia="Calibri"/>
          <w:bCs/>
          <w:kern w:val="0"/>
          <w14:ligatures w14:val="none"/>
        </w:rPr>
        <w:tab/>
      </w:r>
    </w:p>
    <w:p w14:paraId="008CCECF" w14:textId="77777777" w:rsidR="00A83788" w:rsidRPr="00E05788" w:rsidRDefault="00A83788" w:rsidP="00A83788">
      <w:pPr>
        <w:widowControl w:val="0"/>
        <w:tabs>
          <w:tab w:val="left" w:pos="720"/>
          <w:tab w:val="left" w:pos="1440"/>
          <w:tab w:val="left" w:pos="2160"/>
          <w:tab w:val="left" w:pos="2880"/>
          <w:tab w:val="left" w:pos="3600"/>
          <w:tab w:val="left" w:pos="4320"/>
          <w:tab w:val="left" w:pos="5040"/>
          <w:tab w:val="left" w:pos="6744"/>
        </w:tabs>
        <w:spacing w:after="0" w:line="240" w:lineRule="auto"/>
        <w:jc w:val="both"/>
        <w:rPr>
          <w:rFonts w:eastAsia="Calibri"/>
          <w:bCs/>
          <w:kern w:val="0"/>
          <w14:ligatures w14:val="none"/>
        </w:rPr>
      </w:pP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t>)</w:t>
      </w:r>
      <w:r w:rsidRPr="00E05788">
        <w:rPr>
          <w:rFonts w:eastAsia="Calibri"/>
          <w:bCs/>
          <w:kern w:val="0"/>
          <w14:ligatures w14:val="none"/>
        </w:rPr>
        <w:tab/>
      </w:r>
    </w:p>
    <w:p w14:paraId="34E69C2A" w14:textId="77777777" w:rsidR="00A83788" w:rsidRPr="00E05788" w:rsidRDefault="00A83788" w:rsidP="00A83788">
      <w:pPr>
        <w:widowControl w:val="0"/>
        <w:spacing w:after="0" w:line="240" w:lineRule="auto"/>
        <w:jc w:val="both"/>
        <w:rPr>
          <w:rFonts w:eastAsia="Calibri"/>
          <w:bCs/>
          <w:kern w:val="0"/>
          <w14:ligatures w14:val="none"/>
        </w:rPr>
      </w:pPr>
      <w:r w:rsidRPr="00E05788">
        <w:rPr>
          <w:rFonts w:eastAsia="Calibri"/>
          <w:bCs/>
          <w:kern w:val="0"/>
          <w14:ligatures w14:val="none"/>
        </w:rPr>
        <w:t>In the Matter of:</w:t>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t>)</w:t>
      </w:r>
    </w:p>
    <w:p w14:paraId="0E01BD3F" w14:textId="77777777" w:rsidR="00A83788" w:rsidRPr="00E05788" w:rsidRDefault="00A83788" w:rsidP="00A83788">
      <w:pPr>
        <w:widowControl w:val="0"/>
        <w:spacing w:after="0" w:line="240" w:lineRule="auto"/>
        <w:jc w:val="both"/>
        <w:rPr>
          <w:rFonts w:eastAsia="Calibri"/>
          <w:bCs/>
          <w:kern w:val="0"/>
          <w14:ligatures w14:val="none"/>
        </w:rPr>
      </w:pP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t>)</w:t>
      </w:r>
    </w:p>
    <w:p w14:paraId="73C5CB86" w14:textId="77777777" w:rsidR="00A83788" w:rsidRPr="00E05788" w:rsidRDefault="00A83788" w:rsidP="00A83788">
      <w:pPr>
        <w:widowControl w:val="0"/>
        <w:spacing w:after="0" w:line="240" w:lineRule="auto"/>
        <w:jc w:val="both"/>
        <w:rPr>
          <w:rFonts w:eastAsia="Calibri"/>
          <w:bCs/>
          <w:kern w:val="0"/>
          <w14:ligatures w14:val="none"/>
        </w:rPr>
      </w:pPr>
      <w:r w:rsidRPr="00E05788">
        <w:rPr>
          <w:rFonts w:eastAsia="Calibri"/>
          <w:bCs/>
          <w:kern w:val="0"/>
          <w14:ligatures w14:val="none"/>
        </w:rPr>
        <w:t xml:space="preserve">District of Columbia Metropolitan Police </w:t>
      </w:r>
      <w:r w:rsidRPr="00E05788">
        <w:rPr>
          <w:rFonts w:eastAsia="Calibri"/>
          <w:bCs/>
          <w:kern w:val="0"/>
          <w14:ligatures w14:val="none"/>
        </w:rPr>
        <w:tab/>
      </w:r>
      <w:r w:rsidRPr="00E05788">
        <w:rPr>
          <w:rFonts w:eastAsia="Calibri"/>
          <w:bCs/>
          <w:kern w:val="0"/>
          <w14:ligatures w14:val="none"/>
        </w:rPr>
        <w:tab/>
        <w:t>)</w:t>
      </w:r>
    </w:p>
    <w:p w14:paraId="061DCDA1" w14:textId="77777777" w:rsidR="00A83788" w:rsidRPr="00E05788" w:rsidRDefault="00A83788" w:rsidP="00A83788">
      <w:pPr>
        <w:widowControl w:val="0"/>
        <w:spacing w:after="0" w:line="240" w:lineRule="auto"/>
        <w:jc w:val="both"/>
        <w:rPr>
          <w:rFonts w:eastAsia="Calibri"/>
          <w:bCs/>
          <w:kern w:val="0"/>
          <w14:ligatures w14:val="none"/>
        </w:rPr>
      </w:pPr>
      <w:r w:rsidRPr="00E05788">
        <w:rPr>
          <w:rFonts w:eastAsia="Calibri"/>
          <w:bCs/>
          <w:kern w:val="0"/>
          <w14:ligatures w14:val="none"/>
        </w:rPr>
        <w:t>Department,</w:t>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t xml:space="preserve">            )</w:t>
      </w:r>
    </w:p>
    <w:p w14:paraId="4066519C" w14:textId="31C5368A" w:rsidR="00A83788" w:rsidRPr="00A83788" w:rsidRDefault="00A83788" w:rsidP="00A83788">
      <w:pPr>
        <w:widowControl w:val="0"/>
        <w:spacing w:after="0" w:line="240" w:lineRule="auto"/>
        <w:jc w:val="both"/>
        <w:rPr>
          <w:rFonts w:eastAsia="Calibri"/>
          <w:bCs/>
          <w:kern w:val="0"/>
          <w:lang w:val="pt-BR"/>
          <w14:ligatures w14:val="none"/>
        </w:rPr>
      </w:pP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A83788">
        <w:rPr>
          <w:rFonts w:eastAsia="Calibri"/>
          <w:bCs/>
          <w:kern w:val="0"/>
          <w:lang w:val="pt-BR"/>
          <w14:ligatures w14:val="none"/>
        </w:rPr>
        <w:t xml:space="preserve">) </w:t>
      </w:r>
      <w:r w:rsidRPr="00A83788">
        <w:rPr>
          <w:rFonts w:eastAsia="Calibri"/>
          <w:bCs/>
          <w:kern w:val="0"/>
          <w:lang w:val="pt-BR"/>
          <w14:ligatures w14:val="none"/>
        </w:rPr>
        <w:tab/>
        <w:t xml:space="preserve">PERB Case No. </w:t>
      </w:r>
      <w:r>
        <w:rPr>
          <w:rFonts w:eastAsia="Calibri"/>
          <w:bCs/>
          <w:kern w:val="0"/>
          <w:lang w:val="pt-BR"/>
          <w14:ligatures w14:val="none"/>
        </w:rPr>
        <w:t>21</w:t>
      </w:r>
      <w:r w:rsidRPr="00A83788">
        <w:rPr>
          <w:rFonts w:eastAsia="Calibri"/>
          <w:bCs/>
          <w:kern w:val="0"/>
          <w:lang w:val="pt-BR"/>
          <w14:ligatures w14:val="none"/>
        </w:rPr>
        <w:t>-A-0</w:t>
      </w:r>
      <w:r>
        <w:rPr>
          <w:rFonts w:eastAsia="Calibri"/>
          <w:bCs/>
          <w:kern w:val="0"/>
          <w:lang w:val="pt-BR"/>
          <w14:ligatures w14:val="none"/>
        </w:rPr>
        <w:t>6</w:t>
      </w:r>
      <w:r w:rsidRPr="00A83788">
        <w:rPr>
          <w:rFonts w:eastAsia="Calibri"/>
          <w:bCs/>
          <w:kern w:val="0"/>
          <w:lang w:val="pt-BR"/>
          <w14:ligatures w14:val="none"/>
        </w:rPr>
        <w:t>(R)</w:t>
      </w:r>
      <w:r w:rsidRPr="00A83788">
        <w:rPr>
          <w:rFonts w:eastAsia="Calibri"/>
          <w:bCs/>
          <w:kern w:val="0"/>
          <w:lang w:val="pt-BR"/>
          <w14:ligatures w14:val="none"/>
        </w:rPr>
        <w:tab/>
      </w:r>
    </w:p>
    <w:p w14:paraId="3055A963" w14:textId="77777777" w:rsidR="00A83788" w:rsidRPr="00E05788" w:rsidRDefault="00A83788" w:rsidP="00A83788">
      <w:pPr>
        <w:widowControl w:val="0"/>
        <w:spacing w:after="0" w:line="240" w:lineRule="auto"/>
        <w:ind w:left="1440" w:firstLine="720"/>
        <w:jc w:val="both"/>
        <w:rPr>
          <w:rFonts w:eastAsia="Calibri"/>
          <w:bCs/>
          <w:kern w:val="0"/>
          <w14:ligatures w14:val="none"/>
        </w:rPr>
      </w:pPr>
      <w:r w:rsidRPr="00E05788">
        <w:rPr>
          <w:rFonts w:eastAsia="Calibri"/>
          <w:bCs/>
          <w:kern w:val="0"/>
          <w14:ligatures w14:val="none"/>
        </w:rPr>
        <w:t>Petitioner</w:t>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t>)</w:t>
      </w:r>
    </w:p>
    <w:p w14:paraId="614FFB07" w14:textId="2394C768" w:rsidR="00A83788" w:rsidRPr="00E05788" w:rsidRDefault="00A83788" w:rsidP="00A83788">
      <w:pPr>
        <w:widowControl w:val="0"/>
        <w:spacing w:after="0" w:line="240" w:lineRule="auto"/>
        <w:ind w:firstLine="720"/>
        <w:jc w:val="both"/>
        <w:rPr>
          <w:rFonts w:eastAsia="Calibri"/>
          <w:bCs/>
          <w:kern w:val="0"/>
          <w14:ligatures w14:val="none"/>
        </w:rPr>
      </w:pP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t xml:space="preserve">) </w:t>
      </w:r>
      <w:r w:rsidRPr="00E05788">
        <w:rPr>
          <w:rFonts w:eastAsia="Calibri"/>
          <w:bCs/>
          <w:kern w:val="0"/>
          <w14:ligatures w14:val="none"/>
        </w:rPr>
        <w:tab/>
        <w:t xml:space="preserve">Opinion No. </w:t>
      </w:r>
      <w:r w:rsidR="005E6B73">
        <w:rPr>
          <w:rFonts w:eastAsia="Calibri"/>
          <w:bCs/>
          <w:kern w:val="0"/>
          <w14:ligatures w14:val="none"/>
        </w:rPr>
        <w:t>1868</w:t>
      </w:r>
    </w:p>
    <w:p w14:paraId="545E20FF" w14:textId="77777777" w:rsidR="00A83788" w:rsidRPr="00E05788" w:rsidRDefault="00A83788" w:rsidP="00A83788">
      <w:pPr>
        <w:widowControl w:val="0"/>
        <w:spacing w:after="0" w:line="240" w:lineRule="auto"/>
        <w:ind w:firstLine="720"/>
        <w:jc w:val="both"/>
        <w:rPr>
          <w:rFonts w:eastAsia="Calibri"/>
          <w:bCs/>
          <w:kern w:val="0"/>
          <w14:ligatures w14:val="none"/>
        </w:rPr>
      </w:pPr>
      <w:r w:rsidRPr="00E05788">
        <w:rPr>
          <w:rFonts w:eastAsia="Calibri"/>
          <w:bCs/>
          <w:kern w:val="0"/>
          <w14:ligatures w14:val="none"/>
        </w:rPr>
        <w:tab/>
        <w:t>v.</w:t>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t>)</w:t>
      </w:r>
      <w:r w:rsidRPr="00E05788">
        <w:rPr>
          <w:rFonts w:eastAsia="Calibri"/>
          <w:bCs/>
          <w:kern w:val="0"/>
          <w14:ligatures w14:val="none"/>
        </w:rPr>
        <w:tab/>
        <w:t xml:space="preserve"> </w:t>
      </w:r>
    </w:p>
    <w:p w14:paraId="3A24AE3B" w14:textId="77777777" w:rsidR="00A83788" w:rsidRPr="00E05788" w:rsidRDefault="00A83788" w:rsidP="00A83788">
      <w:pPr>
        <w:widowControl w:val="0"/>
        <w:spacing w:after="0" w:line="240" w:lineRule="auto"/>
        <w:jc w:val="both"/>
        <w:rPr>
          <w:rFonts w:eastAsia="Calibri"/>
          <w:bCs/>
          <w:kern w:val="0"/>
          <w14:ligatures w14:val="none"/>
        </w:rPr>
      </w:pP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t>)</w:t>
      </w:r>
    </w:p>
    <w:p w14:paraId="2C3CCDE0" w14:textId="77777777" w:rsidR="00A83788" w:rsidRPr="00E05788" w:rsidRDefault="00A83788" w:rsidP="00A83788">
      <w:pPr>
        <w:widowControl w:val="0"/>
        <w:spacing w:after="0" w:line="240" w:lineRule="auto"/>
        <w:jc w:val="both"/>
        <w:rPr>
          <w:rFonts w:eastAsia="Calibri"/>
          <w:bCs/>
          <w:kern w:val="0"/>
          <w14:ligatures w14:val="none"/>
        </w:rPr>
      </w:pPr>
      <w:r w:rsidRPr="00E05788">
        <w:rPr>
          <w:rFonts w:eastAsia="Calibri"/>
          <w:bCs/>
          <w:kern w:val="0"/>
          <w14:ligatures w14:val="none"/>
        </w:rPr>
        <w:t>Fraternal Order of Police/ Metropolitan Police</w:t>
      </w:r>
      <w:r w:rsidRPr="00E05788">
        <w:rPr>
          <w:rFonts w:eastAsia="Calibri"/>
          <w:bCs/>
          <w:kern w:val="0"/>
          <w14:ligatures w14:val="none"/>
        </w:rPr>
        <w:tab/>
        <w:t>)</w:t>
      </w:r>
    </w:p>
    <w:p w14:paraId="33B2C5F2" w14:textId="77777777" w:rsidR="00A83788" w:rsidRPr="00E05788" w:rsidRDefault="00A83788" w:rsidP="00A83788">
      <w:pPr>
        <w:widowControl w:val="0"/>
        <w:spacing w:after="0" w:line="240" w:lineRule="auto"/>
        <w:jc w:val="both"/>
        <w:rPr>
          <w:rFonts w:eastAsia="Calibri"/>
          <w:bCs/>
          <w:kern w:val="0"/>
          <w14:ligatures w14:val="none"/>
        </w:rPr>
      </w:pPr>
      <w:r w:rsidRPr="00E05788">
        <w:rPr>
          <w:rFonts w:eastAsia="Calibri"/>
          <w:bCs/>
          <w:kern w:val="0"/>
          <w14:ligatures w14:val="none"/>
        </w:rPr>
        <w:t>Department Labor Committee</w:t>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t>)</w:t>
      </w:r>
    </w:p>
    <w:p w14:paraId="6C6097E6" w14:textId="77777777" w:rsidR="00A83788" w:rsidRPr="00E05788" w:rsidRDefault="00A83788" w:rsidP="00A83788">
      <w:pPr>
        <w:widowControl w:val="0"/>
        <w:spacing w:after="0" w:line="240" w:lineRule="auto"/>
        <w:jc w:val="both"/>
        <w:rPr>
          <w:rFonts w:eastAsia="Calibri"/>
          <w:bCs/>
          <w:kern w:val="0"/>
          <w14:ligatures w14:val="none"/>
        </w:rPr>
      </w:pP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t>)</w:t>
      </w:r>
      <w:r w:rsidRPr="00E05788">
        <w:rPr>
          <w:rFonts w:eastAsia="Calibri"/>
          <w:bCs/>
          <w:kern w:val="0"/>
          <w14:ligatures w14:val="none"/>
        </w:rPr>
        <w:tab/>
      </w:r>
    </w:p>
    <w:p w14:paraId="50B03B3B" w14:textId="77777777" w:rsidR="00A83788" w:rsidRPr="00E05788" w:rsidRDefault="00A83788" w:rsidP="00A83788">
      <w:pPr>
        <w:widowControl w:val="0"/>
        <w:spacing w:after="0" w:line="240" w:lineRule="auto"/>
        <w:ind w:left="1440" w:firstLine="720"/>
        <w:jc w:val="both"/>
        <w:rPr>
          <w:rFonts w:eastAsia="Calibri"/>
          <w:bCs/>
          <w:kern w:val="0"/>
          <w14:ligatures w14:val="none"/>
        </w:rPr>
      </w:pPr>
      <w:r w:rsidRPr="00E05788">
        <w:rPr>
          <w:rFonts w:eastAsia="Calibri"/>
          <w:bCs/>
          <w:kern w:val="0"/>
          <w14:ligatures w14:val="none"/>
        </w:rPr>
        <w:t>Respondent</w:t>
      </w:r>
      <w:r w:rsidRPr="00E05788">
        <w:rPr>
          <w:rFonts w:eastAsia="Calibri"/>
          <w:bCs/>
          <w:kern w:val="0"/>
          <w14:ligatures w14:val="none"/>
        </w:rPr>
        <w:tab/>
      </w:r>
      <w:r w:rsidRPr="00E05788">
        <w:rPr>
          <w:rFonts w:eastAsia="Calibri"/>
          <w:bCs/>
          <w:kern w:val="0"/>
          <w14:ligatures w14:val="none"/>
        </w:rPr>
        <w:tab/>
      </w:r>
      <w:r w:rsidRPr="00E05788">
        <w:rPr>
          <w:rFonts w:eastAsia="Calibri"/>
          <w:bCs/>
          <w:kern w:val="0"/>
          <w14:ligatures w14:val="none"/>
        </w:rPr>
        <w:tab/>
        <w:t>)</w:t>
      </w:r>
    </w:p>
    <w:p w14:paraId="13DD16D6" w14:textId="77777777" w:rsidR="00A83788" w:rsidRPr="00E05788" w:rsidRDefault="00A83788" w:rsidP="00A83788">
      <w:pPr>
        <w:widowControl w:val="0"/>
        <w:spacing w:after="0" w:line="240" w:lineRule="auto"/>
        <w:jc w:val="both"/>
        <w:rPr>
          <w:rFonts w:eastAsia="Calibri"/>
          <w:bCs/>
          <w:kern w:val="0"/>
          <w14:ligatures w14:val="none"/>
        </w:rPr>
      </w:pPr>
      <w:r w:rsidRPr="00E05788">
        <w:rPr>
          <w:rFonts w:eastAsia="Calibri"/>
          <w:bCs/>
          <w:kern w:val="0"/>
          <w14:ligatures w14:val="none"/>
        </w:rPr>
        <w:t>_________________________________________</w:t>
      </w:r>
      <w:r w:rsidRPr="00E05788">
        <w:rPr>
          <w:rFonts w:eastAsia="Calibri"/>
          <w:bCs/>
          <w:kern w:val="0"/>
          <w14:ligatures w14:val="none"/>
        </w:rPr>
        <w:tab/>
        <w:t>)</w:t>
      </w:r>
    </w:p>
    <w:p w14:paraId="23C1BF66" w14:textId="77777777" w:rsidR="00A83788" w:rsidRDefault="00A83788" w:rsidP="00A83788">
      <w:pPr>
        <w:spacing w:after="0" w:line="240" w:lineRule="auto"/>
        <w:jc w:val="both"/>
        <w:rPr>
          <w:rFonts w:eastAsia="Calibri"/>
          <w:kern w:val="0"/>
          <w14:ligatures w14:val="none"/>
        </w:rPr>
      </w:pPr>
    </w:p>
    <w:p w14:paraId="5AD8739C" w14:textId="77777777" w:rsidR="00A83788" w:rsidRPr="00E05788" w:rsidRDefault="00A83788" w:rsidP="00A83788">
      <w:pPr>
        <w:spacing w:after="0" w:line="240" w:lineRule="auto"/>
        <w:jc w:val="both"/>
        <w:rPr>
          <w:rFonts w:eastAsia="Calibri"/>
          <w:kern w:val="0"/>
          <w14:ligatures w14:val="none"/>
        </w:rPr>
      </w:pPr>
    </w:p>
    <w:p w14:paraId="3CD8136B" w14:textId="77777777" w:rsidR="00A83788" w:rsidRPr="00E05788" w:rsidRDefault="00A83788" w:rsidP="00A83788">
      <w:pPr>
        <w:spacing w:after="200" w:line="240" w:lineRule="auto"/>
        <w:jc w:val="center"/>
        <w:rPr>
          <w:rFonts w:eastAsia="Calibri"/>
          <w:b/>
          <w:kern w:val="0"/>
          <w14:ligatures w14:val="none"/>
        </w:rPr>
      </w:pPr>
      <w:r w:rsidRPr="00E05788">
        <w:rPr>
          <w:rFonts w:eastAsia="Calibri"/>
          <w:b/>
          <w:kern w:val="0"/>
          <w14:ligatures w14:val="none"/>
        </w:rPr>
        <w:t>DECISION AND ORDER ON REMAND</w:t>
      </w:r>
    </w:p>
    <w:p w14:paraId="486DD15A" w14:textId="77777777" w:rsidR="00A83788" w:rsidRPr="00E05788" w:rsidRDefault="00A83788" w:rsidP="00A83788">
      <w:pPr>
        <w:numPr>
          <w:ilvl w:val="0"/>
          <w:numId w:val="1"/>
        </w:numPr>
        <w:spacing w:after="200" w:line="240" w:lineRule="auto"/>
        <w:ind w:left="720"/>
        <w:jc w:val="both"/>
        <w:rPr>
          <w:rFonts w:eastAsia="Calibri"/>
          <w:b/>
          <w:kern w:val="0"/>
          <w14:ligatures w14:val="none"/>
        </w:rPr>
      </w:pPr>
      <w:bookmarkStart w:id="0" w:name="_Hlk113977904"/>
      <w:r w:rsidRPr="00E05788">
        <w:rPr>
          <w:rFonts w:eastAsia="Calibri"/>
          <w:b/>
          <w:kern w:val="0"/>
          <w14:ligatures w14:val="none"/>
        </w:rPr>
        <w:t>St</w:t>
      </w:r>
      <w:bookmarkEnd w:id="0"/>
      <w:r w:rsidRPr="00E05788">
        <w:rPr>
          <w:rFonts w:eastAsia="Calibri"/>
          <w:b/>
          <w:kern w:val="0"/>
          <w14:ligatures w14:val="none"/>
        </w:rPr>
        <w:t xml:space="preserve">atement of the Case </w:t>
      </w:r>
    </w:p>
    <w:p w14:paraId="3DEFED57" w14:textId="6B10CD00" w:rsidR="00490A60" w:rsidRDefault="00A83788" w:rsidP="00490A60">
      <w:pPr>
        <w:spacing w:before="240"/>
        <w:ind w:firstLine="720"/>
        <w:jc w:val="both"/>
      </w:pPr>
      <w:r w:rsidRPr="00E05788">
        <w:t>This</w:t>
      </w:r>
      <w:r w:rsidRPr="001A394D">
        <w:t xml:space="preserve"> matter comes before the Board on remand from the Superior Court of the District of Columbia, pursuant</w:t>
      </w:r>
      <w:r>
        <w:t xml:space="preserve"> </w:t>
      </w:r>
      <w:r w:rsidRPr="001A394D">
        <w:t xml:space="preserve">to the judgment issued by the District of Columbia Court of Appeals in </w:t>
      </w:r>
      <w:r w:rsidRPr="00861B72">
        <w:rPr>
          <w:i/>
          <w:iCs/>
        </w:rPr>
        <w:t>Dist. of Columbia Metro. Police Dep't v. Dist. of Columbia Pub. Emp. Relations Bd.</w:t>
      </w:r>
      <w:r w:rsidRPr="00861B72">
        <w:t xml:space="preserve">, No. </w:t>
      </w:r>
      <w:r>
        <w:t>22</w:t>
      </w:r>
      <w:r w:rsidRPr="00861B72">
        <w:t>-CV-</w:t>
      </w:r>
      <w:r>
        <w:t>0433</w:t>
      </w:r>
      <w:r w:rsidRPr="00861B72">
        <w:t xml:space="preserve"> (D.C. </w:t>
      </w:r>
      <w:r>
        <w:t>Dec</w:t>
      </w:r>
      <w:r w:rsidRPr="00861B72">
        <w:t>.</w:t>
      </w:r>
      <w:r>
        <w:t xml:space="preserve"> 19</w:t>
      </w:r>
      <w:r w:rsidRPr="00861B72">
        <w:t>, 2023)</w:t>
      </w:r>
      <w:r>
        <w:t>.</w:t>
      </w:r>
      <w:r w:rsidR="00490A60">
        <w:t xml:space="preserve">  </w:t>
      </w:r>
      <w:r w:rsidR="00490A60" w:rsidRPr="001A394D">
        <w:t>For the reasons stated herein, the Metropolitan Police Department’s (MPD) arbitration review request is granted</w:t>
      </w:r>
      <w:r w:rsidR="00490A60">
        <w:t xml:space="preserve">, and the case is remanded back to </w:t>
      </w:r>
      <w:r w:rsidR="00490A60" w:rsidRPr="001A394D">
        <w:t>the Arbitrator for further proceedings consistent with the judgment of the Court of Appeals.</w:t>
      </w:r>
    </w:p>
    <w:p w14:paraId="3870EEBC" w14:textId="77777777" w:rsidR="00490A60" w:rsidRPr="001A394D" w:rsidRDefault="00490A60" w:rsidP="00490A60">
      <w:pPr>
        <w:pStyle w:val="ListParagraph"/>
        <w:numPr>
          <w:ilvl w:val="0"/>
          <w:numId w:val="1"/>
        </w:numPr>
        <w:spacing w:before="240" w:line="240" w:lineRule="auto"/>
        <w:ind w:left="720"/>
        <w:jc w:val="both"/>
        <w:rPr>
          <w:bCs/>
        </w:rPr>
      </w:pPr>
      <w:r>
        <w:rPr>
          <w:b/>
        </w:rPr>
        <w:t>Background</w:t>
      </w:r>
    </w:p>
    <w:p w14:paraId="398A234D" w14:textId="14CBDA13" w:rsidR="006F6798" w:rsidRDefault="006517E7" w:rsidP="006517E7">
      <w:pPr>
        <w:ind w:firstLine="720"/>
        <w:jc w:val="both"/>
      </w:pPr>
      <w:r>
        <w:t>The Arbitrator made the following factual findings. At the time of the Grievant’s removal, he had been employed by MPD as a police officer for approximately thirteen (13) years.</w:t>
      </w:r>
      <w:r>
        <w:rPr>
          <w:rStyle w:val="FootnoteReference"/>
        </w:rPr>
        <w:footnoteReference w:id="1"/>
      </w:r>
      <w:r>
        <w:t xml:space="preserve">  On the evening of September 28, 2017, </w:t>
      </w:r>
      <w:r w:rsidR="000B00E6">
        <w:t xml:space="preserve">Howard County police officers arrested </w:t>
      </w:r>
      <w:r>
        <w:t>the Grievant</w:t>
      </w:r>
      <w:r w:rsidR="000B00E6">
        <w:t xml:space="preserve"> for disorderly conduct, public intoxication, and second-degree </w:t>
      </w:r>
      <w:r>
        <w:t>assault.</w:t>
      </w:r>
      <w:r>
        <w:rPr>
          <w:rStyle w:val="FootnoteReference"/>
        </w:rPr>
        <w:footnoteReference w:id="2"/>
      </w:r>
      <w:r>
        <w:t xml:space="preserve">  </w:t>
      </w:r>
      <w:r w:rsidR="00495C71">
        <w:t>An MPD internal affairs agent spoke with the arresting officer and filed a</w:t>
      </w:r>
      <w:r>
        <w:t xml:space="preserve"> preliminary report </w:t>
      </w:r>
      <w:r w:rsidR="00495C71">
        <w:t>and</w:t>
      </w:r>
      <w:r>
        <w:t xml:space="preserve"> an Incident Summary (IS) number.</w:t>
      </w:r>
      <w:r>
        <w:rPr>
          <w:rStyle w:val="FootnoteReference"/>
        </w:rPr>
        <w:footnoteReference w:id="3"/>
      </w:r>
      <w:r>
        <w:t xml:space="preserve">  </w:t>
      </w:r>
      <w:r>
        <w:lastRenderedPageBreak/>
        <w:t>On May 7, 2018, the Grievant pleaded guilty in a Maryland state court to one count of second-degree assault, a misdemeanor.</w:t>
      </w:r>
      <w:r>
        <w:rPr>
          <w:rStyle w:val="FootnoteReference"/>
        </w:rPr>
        <w:footnoteReference w:id="4"/>
      </w:r>
      <w:r>
        <w:t xml:space="preserve">  </w:t>
      </w:r>
    </w:p>
    <w:p w14:paraId="3AE62392" w14:textId="5CDE6A6F" w:rsidR="006F6798" w:rsidRDefault="006517E7" w:rsidP="001F425E">
      <w:pPr>
        <w:ind w:firstLine="720"/>
        <w:jc w:val="both"/>
      </w:pPr>
      <w:r>
        <w:t>MPD issued a Notice of Proposed Adverse Action (Notice) on October 29, 2018.</w:t>
      </w:r>
      <w:r>
        <w:rPr>
          <w:rStyle w:val="FootnoteReference"/>
        </w:rPr>
        <w:footnoteReference w:id="5"/>
      </w:r>
      <w:r>
        <w:t xml:space="preserve">  The Notice contained four charges: (1) “Conviction…”, (2) “Conduct unbecoming an officer”, (3) “Failure to obey orders or directives issued by the Chief of Police”, and (4) “Drinking alcoholic beverages or beverage as defined in D.C. Official Code § 25-101, while in uniform off duty.”</w:t>
      </w:r>
      <w:r>
        <w:rPr>
          <w:rStyle w:val="FootnoteReference"/>
        </w:rPr>
        <w:footnoteReference w:id="6"/>
      </w:r>
      <w:r>
        <w:t xml:space="preserve">  The Notice proposed termination.</w:t>
      </w:r>
      <w:r>
        <w:rPr>
          <w:rStyle w:val="FootnoteReference"/>
        </w:rPr>
        <w:footnoteReference w:id="7"/>
      </w:r>
      <w:r w:rsidR="006F6798">
        <w:t xml:space="preserve">  An Adverse Action Hearing was held on April 10, 2019.</w:t>
      </w:r>
      <w:r w:rsidR="006F6798">
        <w:rPr>
          <w:rStyle w:val="FootnoteReference"/>
        </w:rPr>
        <w:footnoteReference w:id="8"/>
      </w:r>
      <w:r w:rsidR="006F6798">
        <w:t xml:space="preserve">  The Panel found the Grievant guilty on the contested charges and recommended termination of his employment.</w:t>
      </w:r>
      <w:r w:rsidR="006F6798">
        <w:rPr>
          <w:rStyle w:val="FootnoteReference"/>
        </w:rPr>
        <w:footnoteReference w:id="9"/>
      </w:r>
      <w:r w:rsidR="006F6798">
        <w:t xml:space="preserve"> On May 17, 2019, the Grievant received the Final Notice of Adverse Action.</w:t>
      </w:r>
      <w:r w:rsidR="006F6798">
        <w:rPr>
          <w:rStyle w:val="FootnoteReference"/>
        </w:rPr>
        <w:footnoteReference w:id="10"/>
      </w:r>
      <w:r w:rsidR="001F425E">
        <w:t xml:space="preserve">  </w:t>
      </w:r>
      <w:r w:rsidR="00925A11">
        <w:t>The Grievant appealed the Panel’s decision to the Chief of Police, who denied the appeal.</w:t>
      </w:r>
      <w:r w:rsidR="00925A11">
        <w:rPr>
          <w:rStyle w:val="FootnoteReference"/>
        </w:rPr>
        <w:footnoteReference w:id="11"/>
      </w:r>
      <w:r w:rsidR="00925A11">
        <w:t xml:space="preserve"> The Grievant’s employment was terminated.</w:t>
      </w:r>
      <w:r w:rsidR="00925A11">
        <w:rPr>
          <w:rStyle w:val="FootnoteReference"/>
        </w:rPr>
        <w:footnoteReference w:id="12"/>
      </w:r>
      <w:r w:rsidR="00925A11">
        <w:t xml:space="preserve"> Thereafter, the Union invoked arbitration on behalf of the Grievant.</w:t>
      </w:r>
      <w:r w:rsidR="00925A11">
        <w:rPr>
          <w:rStyle w:val="FootnoteReference"/>
        </w:rPr>
        <w:footnoteReference w:id="13"/>
      </w:r>
    </w:p>
    <w:p w14:paraId="30CA75AC" w14:textId="4AC48BDF" w:rsidR="005A2206" w:rsidRDefault="005A2206" w:rsidP="001F425E">
      <w:pPr>
        <w:pStyle w:val="BodyTextIndent"/>
        <w:jc w:val="both"/>
      </w:pPr>
      <w:r>
        <w:t xml:space="preserve">The Arbitrator found </w:t>
      </w:r>
      <w:r w:rsidRPr="00F32417">
        <w:t>that MPD’s Notice of Adverse Action was untimel</w:t>
      </w:r>
      <w:r>
        <w:t xml:space="preserve">y brought, in violation of D.C. Code § 5-1031 </w:t>
      </w:r>
      <w:r w:rsidRPr="00C0776E">
        <w:t>(“the 90-day rule”)</w:t>
      </w:r>
      <w:r>
        <w:t xml:space="preserve">, </w:t>
      </w:r>
      <w:r w:rsidRPr="00F32417">
        <w:t>which required MPD to commence adverse actions within 90 business days of the time that MPD knew or should have known of the misconduct at issue</w:t>
      </w:r>
      <w:r>
        <w:t xml:space="preserve">.  When the misconduct is the subject of a criminal investigation, </w:t>
      </w:r>
      <w:r w:rsidRPr="00C0776E">
        <w:t>the 90-day rule</w:t>
      </w:r>
      <w:r>
        <w:t xml:space="preserve">’s tolling provision </w:t>
      </w:r>
      <w:r w:rsidRPr="00C0776E">
        <w:t>tolled the 90-day period “until the conclusion of the investigation.”</w:t>
      </w:r>
      <w:r>
        <w:t xml:space="preserve">  </w:t>
      </w:r>
      <w:r w:rsidRPr="00C0776E">
        <w:t xml:space="preserve">The Arbitrator </w:t>
      </w:r>
      <w:r>
        <w:t>noted that the incident involving the Grievant occurred on September 28, 2017</w:t>
      </w:r>
      <w:r w:rsidR="00602665">
        <w:t>, and that MPD created an IS number on September 29, 2017.</w:t>
      </w:r>
      <w:r w:rsidR="00602665">
        <w:rPr>
          <w:rStyle w:val="FootnoteReference"/>
        </w:rPr>
        <w:footnoteReference w:id="14"/>
      </w:r>
      <w:r w:rsidR="003125FF">
        <w:t xml:space="preserve">  The Grievant was not served with MPD’S NPAA until October 29, 2018, 275 days after the 90-day period began to run.</w:t>
      </w:r>
      <w:r w:rsidR="003125FF">
        <w:rPr>
          <w:rStyle w:val="FootnoteReference"/>
        </w:rPr>
        <w:footnoteReference w:id="15"/>
      </w:r>
      <w:r>
        <w:t xml:space="preserve"> Therefore, the Arbitrator dismissed the charge against the Grievant as untimely and reversed the Grievant's termination.</w:t>
      </w:r>
    </w:p>
    <w:p w14:paraId="2AECEFDC" w14:textId="76F9D5CE" w:rsidR="001F425E" w:rsidRDefault="001F425E" w:rsidP="001F425E">
      <w:pPr>
        <w:pStyle w:val="BodyTextIndent"/>
        <w:jc w:val="both"/>
      </w:pPr>
      <w:r w:rsidRPr="00592BF9">
        <w:t>MPD filed an Arbitration Review Request (Request) with the Board challenging the Arbitrator’s decision to reverse the Grievant’s termination as contrary to law and public policy</w:t>
      </w:r>
      <w:r>
        <w:t xml:space="preserve">.  </w:t>
      </w:r>
      <w:r w:rsidRPr="00592BF9">
        <w:t>The Board denied MPD’s Request</w:t>
      </w:r>
      <w:r>
        <w:t>.</w:t>
      </w:r>
      <w:r>
        <w:rPr>
          <w:rStyle w:val="FootnoteReference"/>
        </w:rPr>
        <w:footnoteReference w:id="16"/>
      </w:r>
      <w:r>
        <w:t xml:space="preserve"> </w:t>
      </w:r>
      <w:r w:rsidRPr="00592BF9">
        <w:t>MPD appealed the Board’s decision to the Superior Court of the District of Columbia</w:t>
      </w:r>
      <w:r>
        <w:t>, which affirmed the Board’s decision</w:t>
      </w:r>
      <w:r w:rsidRPr="00592BF9">
        <w:t>.</w:t>
      </w:r>
      <w:r>
        <w:t xml:space="preserve">  </w:t>
      </w:r>
      <w:r w:rsidRPr="0022581A">
        <w:t xml:space="preserve">MPD </w:t>
      </w:r>
      <w:r>
        <w:t xml:space="preserve">then </w:t>
      </w:r>
      <w:r w:rsidRPr="0022581A">
        <w:t xml:space="preserve">appealed the Superior Court’s decision to the District of Columbia Court of Appeals.  </w:t>
      </w:r>
    </w:p>
    <w:p w14:paraId="3E5B0BCF" w14:textId="3193A7A6" w:rsidR="007A1E23" w:rsidRDefault="00AF6011" w:rsidP="00AF6011">
      <w:pPr>
        <w:pStyle w:val="BodyTextIndent"/>
        <w:jc w:val="both"/>
      </w:pPr>
      <w:r>
        <w:lastRenderedPageBreak/>
        <w:t>The</w:t>
      </w:r>
      <w:r w:rsidRPr="00AF6011">
        <w:t xml:space="preserve"> </w:t>
      </w:r>
      <w:r>
        <w:t>Court of Appeals found that the Arbitrator’s reversal of the Grievant’s termination in this case was based solely on</w:t>
      </w:r>
      <w:r w:rsidRPr="00AF6011">
        <w:t xml:space="preserve"> a violation of Section 5-1031(a-1)</w:t>
      </w:r>
      <w:r>
        <w:t>.</w:t>
      </w:r>
      <w:r>
        <w:rPr>
          <w:rStyle w:val="FootnoteReference"/>
        </w:rPr>
        <w:footnoteReference w:id="17"/>
      </w:r>
      <w:r>
        <w:t xml:space="preserve">  </w:t>
      </w:r>
      <w:r w:rsidR="003B0972">
        <w:t>The Court noted that</w:t>
      </w:r>
      <w:r w:rsidR="005D37BF">
        <w:t xml:space="preserve"> </w:t>
      </w:r>
      <w:r w:rsidR="003B0972" w:rsidRPr="00D96D5D">
        <w:t>the Comprehensive Policing and Justice Reform Amendment Act of 2022 (“Reform Act”)</w:t>
      </w:r>
      <w:r w:rsidR="003B0972">
        <w:t xml:space="preserve"> became effective during the pendency of this case.</w:t>
      </w:r>
      <w:r w:rsidR="003B0972">
        <w:rPr>
          <w:rStyle w:val="FootnoteReference"/>
        </w:rPr>
        <w:footnoteReference w:id="18"/>
      </w:r>
      <w:r w:rsidR="005D37BF">
        <w:t xml:space="preserve">  The Reform Act </w:t>
      </w:r>
      <w:r w:rsidR="005D37BF" w:rsidRPr="00D96D5D">
        <w:t>repealed</w:t>
      </w:r>
      <w:r w:rsidR="005D37BF">
        <w:t xml:space="preserve"> </w:t>
      </w:r>
      <w:r w:rsidR="005D37BF" w:rsidRPr="00D96D5D">
        <w:t>D.C. Code § 5-1031(a-1)</w:t>
      </w:r>
      <w:r w:rsidR="005D37BF" w:rsidRPr="005D37BF">
        <w:t xml:space="preserve"> </w:t>
      </w:r>
      <w:r w:rsidR="005D37BF" w:rsidRPr="00C0776E">
        <w:t>(“the 90-day rule”)</w:t>
      </w:r>
      <w:r w:rsidR="005D37BF">
        <w:t xml:space="preserve">, </w:t>
      </w:r>
      <w:r w:rsidR="005D37BF" w:rsidRPr="00D96D5D">
        <w:t>as it applied to MPD officers</w:t>
      </w:r>
      <w:r w:rsidR="00AF0F7C">
        <w:t xml:space="preserve">, </w:t>
      </w:r>
      <w:r w:rsidR="00AF0F7C" w:rsidRPr="00AF0F7C">
        <w:t xml:space="preserve">and applied the repeal </w:t>
      </w:r>
      <w:r w:rsidR="00AF0F7C">
        <w:t>“</w:t>
      </w:r>
      <w:r w:rsidR="00AF0F7C" w:rsidRPr="00AF0F7C">
        <w:t>to any matter pending before any court of adjudicatory body</w:t>
      </w:r>
      <w:r w:rsidR="005D37BF">
        <w:t>.</w:t>
      </w:r>
      <w:r w:rsidR="00AF0F7C">
        <w:t>”</w:t>
      </w:r>
      <w:r w:rsidR="005D37BF">
        <w:rPr>
          <w:rStyle w:val="FootnoteReference"/>
        </w:rPr>
        <w:footnoteReference w:id="19"/>
      </w:r>
      <w:r w:rsidR="00AF0F7C">
        <w:t xml:space="preserve"> </w:t>
      </w:r>
      <w:r>
        <w:t xml:space="preserve"> Therefore, the Court </w:t>
      </w:r>
      <w:r w:rsidRPr="002E7953">
        <w:t>reversed the Superior Court’s judgment and remanded the case back to the Board.</w:t>
      </w:r>
      <w:r>
        <w:rPr>
          <w:rStyle w:val="FootnoteReference"/>
        </w:rPr>
        <w:footnoteReference w:id="20"/>
      </w:r>
      <w:r w:rsidRPr="002E7953">
        <w:t xml:space="preserve"> On remand, the Court instructed the Board to vacate its decision, set aside the </w:t>
      </w:r>
      <w:r>
        <w:t>A</w:t>
      </w:r>
      <w:r w:rsidRPr="002E7953">
        <w:t xml:space="preserve">rbitrator’s </w:t>
      </w:r>
      <w:r>
        <w:t>A</w:t>
      </w:r>
      <w:r w:rsidRPr="002E7953">
        <w:t xml:space="preserve">ward, and remand </w:t>
      </w:r>
      <w:r>
        <w:t xml:space="preserve">the Award back </w:t>
      </w:r>
      <w:r w:rsidRPr="002E7953">
        <w:t xml:space="preserve">to the </w:t>
      </w:r>
      <w:r>
        <w:t>A</w:t>
      </w:r>
      <w:r w:rsidRPr="002E7953">
        <w:t>rbitrator for further proceedings consistent with its decision.</w:t>
      </w:r>
    </w:p>
    <w:p w14:paraId="162A675E" w14:textId="77777777" w:rsidR="00490A60" w:rsidRDefault="00490A60" w:rsidP="00490A60">
      <w:pPr>
        <w:pStyle w:val="ListParagraph"/>
        <w:numPr>
          <w:ilvl w:val="0"/>
          <w:numId w:val="1"/>
        </w:numPr>
        <w:spacing w:after="0" w:line="240" w:lineRule="auto"/>
        <w:ind w:left="720"/>
        <w:jc w:val="both"/>
        <w:rPr>
          <w:b/>
        </w:rPr>
      </w:pPr>
      <w:r>
        <w:rPr>
          <w:b/>
        </w:rPr>
        <w:t>Discussion</w:t>
      </w:r>
    </w:p>
    <w:p w14:paraId="7F028DA7" w14:textId="31DABC9E" w:rsidR="00490A60" w:rsidRDefault="00490A60" w:rsidP="00BF7336">
      <w:pPr>
        <w:pStyle w:val="BodyTextIndent"/>
        <w:jc w:val="both"/>
        <w:rPr>
          <w:b/>
          <w:u w:val="single"/>
          <w14:ligatures w14:val="none"/>
        </w:rPr>
      </w:pPr>
      <w:r>
        <w:t xml:space="preserve">In light of the Reform Act’s repeal of </w:t>
      </w:r>
      <w:r w:rsidRPr="006E1616">
        <w:t>D.C. Code § 5-1031(a-1)</w:t>
      </w:r>
      <w:r>
        <w:t xml:space="preserve"> and the Court of Appeals’ decision</w:t>
      </w:r>
      <w:r w:rsidRPr="002726A2">
        <w:t>, t</w:t>
      </w:r>
      <w:r w:rsidRPr="001A394D">
        <w:t xml:space="preserve">he Board vacates its prior decision in </w:t>
      </w:r>
      <w:r w:rsidRPr="001A394D">
        <w:rPr>
          <w:i/>
          <w:iCs/>
        </w:rPr>
        <w:t>MPD v. FOP/MPD Labor Committee</w:t>
      </w:r>
      <w:r w:rsidRPr="001A394D">
        <w:t>,</w:t>
      </w:r>
      <w:r w:rsidRPr="001A394D">
        <w:rPr>
          <w:vertAlign w:val="superscript"/>
        </w:rPr>
        <w:footnoteReference w:id="21"/>
      </w:r>
      <w:r w:rsidRPr="001A394D">
        <w:t xml:space="preserve"> on the basis that the Arbitrator’s Award is contrary to law and public policy.</w:t>
      </w:r>
      <w:r w:rsidRPr="002726A2">
        <w:t xml:space="preserve"> </w:t>
      </w:r>
      <w:r w:rsidRPr="001A394D">
        <w:t xml:space="preserve"> </w:t>
      </w:r>
      <w:r w:rsidRPr="002726A2">
        <w:t>The Board remands this case to the Arbitrator for an award in accordance with this decision and the judgement of the Court of Appeals</w:t>
      </w:r>
      <w:r>
        <w:t>.</w:t>
      </w:r>
    </w:p>
    <w:p w14:paraId="200131C9" w14:textId="77777777" w:rsidR="00490A60" w:rsidRPr="00EC1E55" w:rsidRDefault="00490A60" w:rsidP="00490A60">
      <w:pPr>
        <w:spacing w:after="0" w:line="240" w:lineRule="auto"/>
        <w:ind w:firstLine="360"/>
        <w:jc w:val="center"/>
        <w:rPr>
          <w:rFonts w:eastAsia="Calibri"/>
          <w:b/>
          <w:kern w:val="0"/>
          <w:u w:val="single"/>
          <w14:ligatures w14:val="none"/>
        </w:rPr>
      </w:pPr>
      <w:r w:rsidRPr="00EC1E55">
        <w:rPr>
          <w:rFonts w:eastAsia="Calibri"/>
          <w:b/>
          <w:kern w:val="0"/>
          <w:u w:val="single"/>
          <w14:ligatures w14:val="none"/>
        </w:rPr>
        <w:t>ORDER</w:t>
      </w:r>
    </w:p>
    <w:p w14:paraId="68DFB812" w14:textId="77777777" w:rsidR="00490A60" w:rsidRPr="00EC1E55" w:rsidRDefault="00490A60" w:rsidP="00490A60">
      <w:pPr>
        <w:spacing w:after="0" w:line="240" w:lineRule="auto"/>
        <w:ind w:firstLine="360"/>
        <w:jc w:val="center"/>
        <w:rPr>
          <w:rFonts w:eastAsia="Calibri"/>
          <w:b/>
          <w:kern w:val="0"/>
          <w:u w:val="single"/>
          <w14:ligatures w14:val="none"/>
        </w:rPr>
      </w:pPr>
    </w:p>
    <w:p w14:paraId="69A57263" w14:textId="77777777" w:rsidR="00490A60" w:rsidRPr="00EC1E55" w:rsidRDefault="00490A60" w:rsidP="00490A60">
      <w:pPr>
        <w:spacing w:after="240" w:line="240" w:lineRule="auto"/>
        <w:jc w:val="both"/>
        <w:rPr>
          <w:rFonts w:eastAsia="Calibri"/>
          <w:b/>
          <w:kern w:val="0"/>
          <w:u w:val="single"/>
          <w14:ligatures w14:val="none"/>
        </w:rPr>
      </w:pPr>
      <w:r w:rsidRPr="00EC1E55">
        <w:rPr>
          <w:rFonts w:eastAsia="Calibri"/>
          <w:b/>
          <w:kern w:val="0"/>
          <w14:ligatures w14:val="none"/>
        </w:rPr>
        <w:t>IT IS HEREBY ORDERED THAT:</w:t>
      </w:r>
    </w:p>
    <w:p w14:paraId="0B2236BB" w14:textId="77777777" w:rsidR="00490A60" w:rsidRPr="00243CD0" w:rsidRDefault="00490A60" w:rsidP="00490A60">
      <w:pPr>
        <w:numPr>
          <w:ilvl w:val="0"/>
          <w:numId w:val="2"/>
        </w:numPr>
        <w:spacing w:after="0" w:line="240" w:lineRule="auto"/>
        <w:ind w:left="1080"/>
        <w:contextualSpacing/>
        <w:jc w:val="both"/>
        <w:rPr>
          <w:rFonts w:eastAsia="Calibri"/>
          <w:bCs/>
          <w:kern w:val="0"/>
          <w14:ligatures w14:val="none"/>
        </w:rPr>
      </w:pPr>
      <w:r w:rsidRPr="00243CD0">
        <w:rPr>
          <w:rFonts w:eastAsia="Calibri"/>
          <w:kern w:val="0"/>
          <w14:ligatures w14:val="none"/>
        </w:rPr>
        <w:t>The</w:t>
      </w:r>
      <w:r w:rsidRPr="00243CD0">
        <w:rPr>
          <w:rFonts w:eastAsia="Calibri"/>
          <w:kern w:val="0"/>
          <w:sz w:val="20"/>
          <w:szCs w:val="20"/>
          <w14:ligatures w14:val="none"/>
        </w:rPr>
        <w:t xml:space="preserve"> </w:t>
      </w:r>
      <w:r w:rsidRPr="00243CD0">
        <w:rPr>
          <w:rFonts w:eastAsia="Calibri"/>
          <w:kern w:val="0"/>
          <w14:ligatures w14:val="none"/>
        </w:rPr>
        <w:t>arbitration review request is granted;</w:t>
      </w:r>
    </w:p>
    <w:p w14:paraId="3A9A5397" w14:textId="77777777" w:rsidR="00490A60" w:rsidRPr="00243CD0" w:rsidRDefault="00490A60" w:rsidP="00490A60">
      <w:pPr>
        <w:spacing w:after="0" w:line="240" w:lineRule="auto"/>
        <w:contextualSpacing/>
        <w:jc w:val="both"/>
        <w:rPr>
          <w:rFonts w:eastAsia="Calibri"/>
          <w:bCs/>
          <w:kern w:val="0"/>
          <w14:ligatures w14:val="none"/>
        </w:rPr>
      </w:pPr>
    </w:p>
    <w:p w14:paraId="4D858F69" w14:textId="201B8404" w:rsidR="00490A60" w:rsidRPr="00243CD0" w:rsidRDefault="00490A60" w:rsidP="00490A60">
      <w:pPr>
        <w:numPr>
          <w:ilvl w:val="0"/>
          <w:numId w:val="2"/>
        </w:numPr>
        <w:spacing w:after="0" w:line="240" w:lineRule="auto"/>
        <w:ind w:left="1080"/>
        <w:contextualSpacing/>
        <w:jc w:val="both"/>
        <w:rPr>
          <w:rFonts w:eastAsia="Calibri"/>
          <w:bCs/>
          <w:kern w:val="0"/>
          <w14:ligatures w14:val="none"/>
        </w:rPr>
      </w:pPr>
      <w:r w:rsidRPr="00243CD0">
        <w:rPr>
          <w:rFonts w:eastAsia="Calibri"/>
          <w:kern w:val="0"/>
          <w14:ligatures w14:val="none"/>
        </w:rPr>
        <w:t>Opinion No. 1</w:t>
      </w:r>
      <w:r>
        <w:rPr>
          <w:rFonts w:eastAsia="Calibri"/>
          <w:kern w:val="0"/>
          <w14:ligatures w14:val="none"/>
        </w:rPr>
        <w:t>783</w:t>
      </w:r>
      <w:r w:rsidRPr="00243CD0">
        <w:rPr>
          <w:rFonts w:eastAsia="Calibri"/>
          <w:kern w:val="0"/>
          <w14:ligatures w14:val="none"/>
        </w:rPr>
        <w:t xml:space="preserve"> is vacated;</w:t>
      </w:r>
    </w:p>
    <w:p w14:paraId="17DB9AE5" w14:textId="77777777" w:rsidR="00490A60" w:rsidRPr="00243CD0" w:rsidRDefault="00490A60" w:rsidP="00490A60">
      <w:pPr>
        <w:spacing w:after="0" w:line="240" w:lineRule="auto"/>
        <w:contextualSpacing/>
        <w:jc w:val="both"/>
        <w:rPr>
          <w:rFonts w:eastAsia="Calibri"/>
          <w:bCs/>
          <w:kern w:val="0"/>
          <w14:ligatures w14:val="none"/>
        </w:rPr>
      </w:pPr>
    </w:p>
    <w:p w14:paraId="5ED1FE4F" w14:textId="77777777" w:rsidR="00490A60" w:rsidRPr="00243CD0" w:rsidRDefault="00490A60" w:rsidP="00490A60">
      <w:pPr>
        <w:numPr>
          <w:ilvl w:val="0"/>
          <w:numId w:val="2"/>
        </w:numPr>
        <w:spacing w:after="0" w:line="240" w:lineRule="auto"/>
        <w:ind w:left="1080"/>
        <w:contextualSpacing/>
        <w:jc w:val="both"/>
        <w:rPr>
          <w:rFonts w:eastAsia="Calibri"/>
          <w:bCs/>
          <w:kern w:val="0"/>
          <w14:ligatures w14:val="none"/>
        </w:rPr>
      </w:pPr>
      <w:r w:rsidRPr="00243CD0">
        <w:rPr>
          <w:rFonts w:eastAsia="Calibri"/>
          <w:kern w:val="0"/>
          <w14:ligatures w14:val="none"/>
        </w:rPr>
        <w:t>This matter is remanded to the Arbitrator for further findings; and</w:t>
      </w:r>
    </w:p>
    <w:p w14:paraId="3916029A" w14:textId="77777777" w:rsidR="00490A60" w:rsidRPr="00243CD0" w:rsidRDefault="00490A60" w:rsidP="00490A60">
      <w:pPr>
        <w:spacing w:after="0" w:line="240" w:lineRule="auto"/>
        <w:contextualSpacing/>
        <w:jc w:val="both"/>
        <w:rPr>
          <w:rFonts w:eastAsia="Calibri"/>
          <w:bCs/>
          <w:kern w:val="0"/>
          <w14:ligatures w14:val="none"/>
        </w:rPr>
      </w:pPr>
    </w:p>
    <w:p w14:paraId="1C6EA8FC" w14:textId="77777777" w:rsidR="00490A60" w:rsidRPr="00EC1E55" w:rsidRDefault="00490A60" w:rsidP="00490A60">
      <w:pPr>
        <w:numPr>
          <w:ilvl w:val="0"/>
          <w:numId w:val="2"/>
        </w:numPr>
        <w:spacing w:after="0" w:line="240" w:lineRule="auto"/>
        <w:ind w:left="1080"/>
        <w:contextualSpacing/>
        <w:jc w:val="both"/>
        <w:rPr>
          <w:rFonts w:eastAsia="Calibri"/>
          <w:bCs/>
          <w:kern w:val="0"/>
          <w14:ligatures w14:val="none"/>
        </w:rPr>
      </w:pPr>
      <w:r w:rsidRPr="00243CD0">
        <w:rPr>
          <w:rFonts w:eastAsia="Calibri"/>
          <w:bCs/>
          <w:kern w:val="0"/>
          <w14:ligatures w14:val="none"/>
        </w:rPr>
        <w:t>Pursuant to Board Rule 559.1, this Decision and Order is final upon issuance.</w:t>
      </w:r>
      <w:r w:rsidRPr="00EC1E55">
        <w:rPr>
          <w:rFonts w:eastAsia="Calibri"/>
          <w:bCs/>
          <w:kern w:val="0"/>
          <w14:ligatures w14:val="none"/>
        </w:rPr>
        <w:cr/>
      </w:r>
    </w:p>
    <w:p w14:paraId="5C55999F" w14:textId="77777777" w:rsidR="00490A60" w:rsidRPr="00EC1E55" w:rsidRDefault="00490A60" w:rsidP="00490A60">
      <w:pPr>
        <w:spacing w:after="240" w:line="240" w:lineRule="auto"/>
        <w:jc w:val="both"/>
        <w:rPr>
          <w:rFonts w:eastAsia="Calibri"/>
          <w:b/>
          <w:kern w:val="0"/>
          <w14:ligatures w14:val="none"/>
        </w:rPr>
      </w:pPr>
      <w:r w:rsidRPr="00EC1E55">
        <w:rPr>
          <w:rFonts w:eastAsia="Calibri"/>
          <w:b/>
          <w:kern w:val="0"/>
          <w14:ligatures w14:val="none"/>
        </w:rPr>
        <w:t>BY ORDER OF THE PUBLIC EMPLOYEE RELATIONS BOARD</w:t>
      </w:r>
    </w:p>
    <w:p w14:paraId="4FB59F31" w14:textId="1493C044" w:rsidR="00FA7F49" w:rsidRDefault="00FA7F49" w:rsidP="00FA7F49">
      <w:r>
        <w:t>By vote of Board Chairperson Douglas Warshof and Members Renee Bowser and Peter Winkler.</w:t>
      </w:r>
    </w:p>
    <w:p w14:paraId="42DB8DC5" w14:textId="42613102" w:rsidR="00490A60" w:rsidRPr="00EC1E55" w:rsidRDefault="00490A60" w:rsidP="00490A60">
      <w:pPr>
        <w:pStyle w:val="BodyText"/>
      </w:pPr>
      <w:r w:rsidRPr="00EC1E55">
        <w:br/>
      </w:r>
      <w:r>
        <w:t>April 18</w:t>
      </w:r>
      <w:r w:rsidRPr="00EC1E55">
        <w:t>, 202</w:t>
      </w:r>
      <w:r>
        <w:t>4</w:t>
      </w:r>
    </w:p>
    <w:p w14:paraId="47599793" w14:textId="564C2C54" w:rsidR="005E33A5" w:rsidRDefault="00490A60" w:rsidP="005E6B73">
      <w:pPr>
        <w:tabs>
          <w:tab w:val="center" w:pos="4680"/>
        </w:tabs>
        <w:spacing w:after="0" w:line="240" w:lineRule="auto"/>
        <w:jc w:val="both"/>
        <w:rPr>
          <w:rFonts w:eastAsia="Calibri"/>
          <w:b/>
          <w:kern w:val="0"/>
          <w14:ligatures w14:val="none"/>
        </w:rPr>
      </w:pPr>
      <w:r w:rsidRPr="00EC1E55">
        <w:rPr>
          <w:rFonts w:eastAsia="Calibri"/>
          <w:b/>
          <w:kern w:val="0"/>
          <w14:ligatures w14:val="none"/>
        </w:rPr>
        <w:t>Washington, D.C.</w:t>
      </w:r>
      <w:r w:rsidR="005E33A5">
        <w:rPr>
          <w:rFonts w:eastAsia="Calibri"/>
          <w:b/>
          <w:kern w:val="0"/>
          <w14:ligatures w14:val="none"/>
        </w:rPr>
        <w:br w:type="page"/>
      </w:r>
    </w:p>
    <w:p w14:paraId="162EF81A" w14:textId="77777777" w:rsidR="005E33A5" w:rsidRDefault="005E33A5" w:rsidP="005E33A5">
      <w:pPr>
        <w:pStyle w:val="NormalWeb"/>
        <w:spacing w:after="0" w:afterAutospacing="0"/>
        <w:jc w:val="center"/>
      </w:pPr>
      <w:r>
        <w:rPr>
          <w:rStyle w:val="Strong"/>
          <w:rFonts w:eastAsiaTheme="majorEastAsia"/>
          <w:u w:val="single"/>
        </w:rPr>
        <w:lastRenderedPageBreak/>
        <w:t>APPEAL RIGHTS</w:t>
      </w:r>
    </w:p>
    <w:p w14:paraId="22F0B08C" w14:textId="77777777" w:rsidR="005E33A5" w:rsidRDefault="005E33A5" w:rsidP="005E33A5">
      <w:pPr>
        <w:pStyle w:val="NormalWeb"/>
        <w:spacing w:after="0" w:afterAutospacing="0"/>
        <w:jc w:val="both"/>
      </w:pPr>
      <w:r>
        <w:t>Pursuant to Board Rule 559.2, a party may file a motion for reconsideration, requesting the Board reconsider its decision. Additionally, a final decision by the Board may be appealed to the District of Columbia Superior Court pursuant to D.C. Official Code §§ 1-605.2(12) and 1-617.13(c), which provides 30 days after a decision is issued to file an appeal.</w:t>
      </w:r>
    </w:p>
    <w:p w14:paraId="06B1C00F" w14:textId="77777777" w:rsidR="005E33A5" w:rsidRDefault="005E33A5" w:rsidP="005E33A5">
      <w:pPr>
        <w:ind w:firstLine="720"/>
      </w:pPr>
    </w:p>
    <w:p w14:paraId="755108F8" w14:textId="77777777" w:rsidR="005E33A5" w:rsidRDefault="005E33A5" w:rsidP="00BF7336">
      <w:pPr>
        <w:tabs>
          <w:tab w:val="center" w:pos="4680"/>
        </w:tabs>
        <w:spacing w:after="0" w:line="240" w:lineRule="auto"/>
        <w:jc w:val="both"/>
      </w:pPr>
    </w:p>
    <w:sectPr w:rsidR="005E33A5" w:rsidSect="00A91D0A">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A7E958" w14:textId="77777777" w:rsidR="00A83788" w:rsidRDefault="00A83788" w:rsidP="00A83788">
      <w:pPr>
        <w:spacing w:after="0" w:line="240" w:lineRule="auto"/>
      </w:pPr>
      <w:r>
        <w:separator/>
      </w:r>
    </w:p>
  </w:endnote>
  <w:endnote w:type="continuationSeparator" w:id="0">
    <w:p w14:paraId="2D891056" w14:textId="77777777" w:rsidR="00A83788" w:rsidRDefault="00A83788" w:rsidP="00A83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9DCFA" w14:textId="77777777" w:rsidR="00A83788" w:rsidRDefault="00A83788" w:rsidP="00A83788">
      <w:pPr>
        <w:spacing w:after="0" w:line="240" w:lineRule="auto"/>
      </w:pPr>
      <w:r>
        <w:separator/>
      </w:r>
    </w:p>
  </w:footnote>
  <w:footnote w:type="continuationSeparator" w:id="0">
    <w:p w14:paraId="0EFB0B29" w14:textId="77777777" w:rsidR="00A83788" w:rsidRDefault="00A83788" w:rsidP="00A83788">
      <w:pPr>
        <w:spacing w:after="0" w:line="240" w:lineRule="auto"/>
      </w:pPr>
      <w:r>
        <w:continuationSeparator/>
      </w:r>
    </w:p>
  </w:footnote>
  <w:footnote w:id="1">
    <w:p w14:paraId="000FA4BC" w14:textId="471DAFC4" w:rsidR="006517E7" w:rsidRDefault="006517E7" w:rsidP="006517E7">
      <w:pPr>
        <w:pStyle w:val="FootnoteText"/>
        <w:jc w:val="both"/>
      </w:pPr>
      <w:r>
        <w:rPr>
          <w:rStyle w:val="FootnoteReference"/>
        </w:rPr>
        <w:footnoteRef/>
      </w:r>
      <w:r>
        <w:t xml:space="preserve"> </w:t>
      </w:r>
      <w:r w:rsidRPr="00D97AB4">
        <w:rPr>
          <w:bCs/>
          <w:i/>
          <w:iCs/>
        </w:rPr>
        <w:t>MPD v. FOP/MPD Labor Comm.</w:t>
      </w:r>
      <w:r w:rsidRPr="00D97AB4">
        <w:rPr>
          <w:bCs/>
        </w:rPr>
        <w:t>, 6</w:t>
      </w:r>
      <w:r>
        <w:rPr>
          <w:bCs/>
        </w:rPr>
        <w:t>8</w:t>
      </w:r>
      <w:r w:rsidRPr="00D97AB4">
        <w:rPr>
          <w:bCs/>
        </w:rPr>
        <w:t xml:space="preserve"> D.C. Reg.</w:t>
      </w:r>
      <w:r>
        <w:rPr>
          <w:bCs/>
        </w:rPr>
        <w:t xml:space="preserve"> 5072</w:t>
      </w:r>
      <w:r w:rsidRPr="00D97AB4">
        <w:rPr>
          <w:bCs/>
        </w:rPr>
        <w:t xml:space="preserve">, Slip Op. No. </w:t>
      </w:r>
      <w:r>
        <w:rPr>
          <w:bCs/>
        </w:rPr>
        <w:t>1783 at 1</w:t>
      </w:r>
      <w:r w:rsidRPr="00D97AB4">
        <w:rPr>
          <w:bCs/>
        </w:rPr>
        <w:t xml:space="preserve">, PERB Case No. </w:t>
      </w:r>
      <w:r>
        <w:rPr>
          <w:bCs/>
        </w:rPr>
        <w:t>21</w:t>
      </w:r>
      <w:r w:rsidRPr="00D97AB4">
        <w:rPr>
          <w:bCs/>
        </w:rPr>
        <w:t>-A-0</w:t>
      </w:r>
      <w:r>
        <w:rPr>
          <w:bCs/>
        </w:rPr>
        <w:t>6</w:t>
      </w:r>
      <w:r w:rsidRPr="00D97AB4">
        <w:rPr>
          <w:bCs/>
        </w:rPr>
        <w:t xml:space="preserve"> (20</w:t>
      </w:r>
      <w:r>
        <w:rPr>
          <w:bCs/>
        </w:rPr>
        <w:t>21</w:t>
      </w:r>
      <w:r w:rsidRPr="00D97AB4">
        <w:rPr>
          <w:bCs/>
        </w:rPr>
        <w:t>)</w:t>
      </w:r>
      <w:r>
        <w:rPr>
          <w:bCs/>
        </w:rPr>
        <w:t>.</w:t>
      </w:r>
    </w:p>
  </w:footnote>
  <w:footnote w:id="2">
    <w:p w14:paraId="1992EC5D" w14:textId="7DDB7C82" w:rsidR="006517E7" w:rsidRDefault="006517E7">
      <w:pPr>
        <w:pStyle w:val="FootnoteText"/>
      </w:pPr>
      <w:r>
        <w:rPr>
          <w:rStyle w:val="FootnoteReference"/>
        </w:rPr>
        <w:footnoteRef/>
      </w:r>
      <w:r>
        <w:t xml:space="preserve"> </w:t>
      </w:r>
      <w:r w:rsidR="00495C71">
        <w:t xml:space="preserve">Award </w:t>
      </w:r>
      <w:r>
        <w:t xml:space="preserve">at </w:t>
      </w:r>
      <w:r w:rsidR="00495C71">
        <w:t>4</w:t>
      </w:r>
      <w:r>
        <w:t>.</w:t>
      </w:r>
    </w:p>
  </w:footnote>
  <w:footnote w:id="3">
    <w:p w14:paraId="76DC069A" w14:textId="263D8D9B" w:rsidR="006517E7" w:rsidRDefault="006517E7">
      <w:pPr>
        <w:pStyle w:val="FootnoteText"/>
      </w:pPr>
      <w:r>
        <w:rPr>
          <w:rStyle w:val="FootnoteReference"/>
        </w:rPr>
        <w:footnoteRef/>
      </w:r>
      <w:r>
        <w:t xml:space="preserve"> </w:t>
      </w:r>
      <w:r w:rsidR="00495C71" w:rsidRPr="00BF7336">
        <w:t>Award</w:t>
      </w:r>
      <w:r>
        <w:t xml:space="preserve"> at </w:t>
      </w:r>
      <w:r w:rsidR="00495C71">
        <w:t>7</w:t>
      </w:r>
      <w:r>
        <w:t>.</w:t>
      </w:r>
    </w:p>
  </w:footnote>
  <w:footnote w:id="4">
    <w:p w14:paraId="2EAE6B0D" w14:textId="294BCC44" w:rsidR="006517E7" w:rsidRDefault="006517E7">
      <w:pPr>
        <w:pStyle w:val="FootnoteText"/>
      </w:pPr>
      <w:r>
        <w:rPr>
          <w:rStyle w:val="FootnoteReference"/>
        </w:rPr>
        <w:footnoteRef/>
      </w:r>
      <w:r>
        <w:t xml:space="preserve"> </w:t>
      </w:r>
      <w:r w:rsidRPr="006517E7">
        <w:rPr>
          <w:i/>
          <w:iCs/>
        </w:rPr>
        <w:t>Id.</w:t>
      </w:r>
      <w:r>
        <w:t xml:space="preserve"> at 2.</w:t>
      </w:r>
    </w:p>
  </w:footnote>
  <w:footnote w:id="5">
    <w:p w14:paraId="3791D663" w14:textId="7A54DC4A" w:rsidR="006517E7" w:rsidRDefault="006517E7">
      <w:pPr>
        <w:pStyle w:val="FootnoteText"/>
      </w:pPr>
      <w:r>
        <w:rPr>
          <w:rStyle w:val="FootnoteReference"/>
        </w:rPr>
        <w:footnoteRef/>
      </w:r>
      <w:r>
        <w:t xml:space="preserve"> </w:t>
      </w:r>
      <w:r w:rsidRPr="006517E7">
        <w:rPr>
          <w:i/>
          <w:iCs/>
        </w:rPr>
        <w:t>Id.</w:t>
      </w:r>
      <w:r>
        <w:t xml:space="preserve"> at 2.</w:t>
      </w:r>
    </w:p>
  </w:footnote>
  <w:footnote w:id="6">
    <w:p w14:paraId="2565925D" w14:textId="0CC72070" w:rsidR="006517E7" w:rsidRDefault="006517E7">
      <w:pPr>
        <w:pStyle w:val="FootnoteText"/>
      </w:pPr>
      <w:r>
        <w:rPr>
          <w:rStyle w:val="FootnoteReference"/>
        </w:rPr>
        <w:footnoteRef/>
      </w:r>
      <w:r>
        <w:t xml:space="preserve"> </w:t>
      </w:r>
      <w:r w:rsidRPr="006517E7">
        <w:rPr>
          <w:i/>
          <w:iCs/>
        </w:rPr>
        <w:t>Id.</w:t>
      </w:r>
      <w:r>
        <w:t xml:space="preserve"> at 2.</w:t>
      </w:r>
    </w:p>
  </w:footnote>
  <w:footnote w:id="7">
    <w:p w14:paraId="2AA8D74D" w14:textId="02A3DB90" w:rsidR="006517E7" w:rsidRDefault="006517E7">
      <w:pPr>
        <w:pStyle w:val="FootnoteText"/>
      </w:pPr>
      <w:r>
        <w:rPr>
          <w:rStyle w:val="FootnoteReference"/>
        </w:rPr>
        <w:footnoteRef/>
      </w:r>
      <w:r>
        <w:t xml:space="preserve"> </w:t>
      </w:r>
      <w:r w:rsidRPr="006517E7">
        <w:rPr>
          <w:i/>
          <w:iCs/>
        </w:rPr>
        <w:t>Id.</w:t>
      </w:r>
      <w:r>
        <w:t xml:space="preserve"> at 2.</w:t>
      </w:r>
    </w:p>
  </w:footnote>
  <w:footnote w:id="8">
    <w:p w14:paraId="4A465A5C" w14:textId="5B36F287" w:rsidR="006F6798" w:rsidRDefault="006F6798" w:rsidP="006F6798">
      <w:pPr>
        <w:pStyle w:val="FootnoteText"/>
        <w:jc w:val="both"/>
      </w:pPr>
      <w:r>
        <w:rPr>
          <w:rStyle w:val="FootnoteReference"/>
        </w:rPr>
        <w:footnoteRef/>
      </w:r>
      <w:r>
        <w:t xml:space="preserve"> </w:t>
      </w:r>
      <w:r w:rsidRPr="00D97AB4">
        <w:rPr>
          <w:bCs/>
          <w:i/>
          <w:iCs/>
        </w:rPr>
        <w:t>MPD v. FOP/MPD Labor Comm.</w:t>
      </w:r>
      <w:r w:rsidRPr="00D97AB4">
        <w:rPr>
          <w:bCs/>
        </w:rPr>
        <w:t>,</w:t>
      </w:r>
      <w:r>
        <w:rPr>
          <w:bCs/>
        </w:rPr>
        <w:t xml:space="preserve"> </w:t>
      </w:r>
      <w:r w:rsidRPr="00D97AB4">
        <w:rPr>
          <w:bCs/>
        </w:rPr>
        <w:t xml:space="preserve">Slip Op. No. </w:t>
      </w:r>
      <w:r>
        <w:rPr>
          <w:bCs/>
        </w:rPr>
        <w:t xml:space="preserve">1783 at 2. </w:t>
      </w:r>
      <w:r>
        <w:t xml:space="preserve">The Grievant pled “Not Guilty” to Charges 1, 2 and 3, and pled “Guilty” to Charge 4.  </w:t>
      </w:r>
      <w:r w:rsidRPr="006517E7">
        <w:rPr>
          <w:i/>
          <w:iCs/>
        </w:rPr>
        <w:t>Id.</w:t>
      </w:r>
      <w:r>
        <w:t xml:space="preserve"> </w:t>
      </w:r>
    </w:p>
  </w:footnote>
  <w:footnote w:id="9">
    <w:p w14:paraId="1B805E5D" w14:textId="754F1674" w:rsidR="006F6798" w:rsidRDefault="006F6798">
      <w:pPr>
        <w:pStyle w:val="FootnoteText"/>
      </w:pPr>
      <w:r>
        <w:rPr>
          <w:rStyle w:val="FootnoteReference"/>
        </w:rPr>
        <w:footnoteRef/>
      </w:r>
      <w:r>
        <w:t xml:space="preserve"> </w:t>
      </w:r>
      <w:r w:rsidRPr="006517E7">
        <w:rPr>
          <w:i/>
          <w:iCs/>
        </w:rPr>
        <w:t>Id.</w:t>
      </w:r>
      <w:r>
        <w:t xml:space="preserve"> </w:t>
      </w:r>
    </w:p>
  </w:footnote>
  <w:footnote w:id="10">
    <w:p w14:paraId="422B1720" w14:textId="6B5322CD" w:rsidR="006F6798" w:rsidRDefault="006F6798">
      <w:pPr>
        <w:pStyle w:val="FootnoteText"/>
      </w:pPr>
      <w:r>
        <w:rPr>
          <w:rStyle w:val="FootnoteReference"/>
        </w:rPr>
        <w:footnoteRef/>
      </w:r>
      <w:r>
        <w:t xml:space="preserve"> </w:t>
      </w:r>
      <w:r w:rsidRPr="006F6798">
        <w:rPr>
          <w:i/>
          <w:iCs/>
        </w:rPr>
        <w:t>Id.</w:t>
      </w:r>
    </w:p>
  </w:footnote>
  <w:footnote w:id="11">
    <w:p w14:paraId="6EA3C4A2" w14:textId="5B1F62A5" w:rsidR="00925A11" w:rsidRDefault="00925A11">
      <w:pPr>
        <w:pStyle w:val="FootnoteText"/>
      </w:pPr>
      <w:r>
        <w:rPr>
          <w:rStyle w:val="FootnoteReference"/>
        </w:rPr>
        <w:footnoteRef/>
      </w:r>
      <w:r>
        <w:t xml:space="preserve"> </w:t>
      </w:r>
      <w:r w:rsidRPr="006F6798">
        <w:rPr>
          <w:i/>
          <w:iCs/>
        </w:rPr>
        <w:t>Id.</w:t>
      </w:r>
    </w:p>
  </w:footnote>
  <w:footnote w:id="12">
    <w:p w14:paraId="544B222F" w14:textId="106EE944" w:rsidR="00925A11" w:rsidRDefault="00925A11">
      <w:pPr>
        <w:pStyle w:val="FootnoteText"/>
      </w:pPr>
      <w:r>
        <w:rPr>
          <w:rStyle w:val="FootnoteReference"/>
        </w:rPr>
        <w:footnoteRef/>
      </w:r>
      <w:r>
        <w:t xml:space="preserve"> </w:t>
      </w:r>
      <w:r w:rsidRPr="006F6798">
        <w:rPr>
          <w:i/>
          <w:iCs/>
        </w:rPr>
        <w:t>Id.</w:t>
      </w:r>
    </w:p>
  </w:footnote>
  <w:footnote w:id="13">
    <w:p w14:paraId="49CD2E58" w14:textId="5DD3DEA2" w:rsidR="00925A11" w:rsidRDefault="00925A11">
      <w:pPr>
        <w:pStyle w:val="FootnoteText"/>
      </w:pPr>
      <w:r>
        <w:rPr>
          <w:rStyle w:val="FootnoteReference"/>
        </w:rPr>
        <w:footnoteRef/>
      </w:r>
      <w:r>
        <w:t xml:space="preserve"> </w:t>
      </w:r>
      <w:r w:rsidRPr="006F6798">
        <w:rPr>
          <w:i/>
          <w:iCs/>
        </w:rPr>
        <w:t>Id.</w:t>
      </w:r>
    </w:p>
  </w:footnote>
  <w:footnote w:id="14">
    <w:p w14:paraId="44A24988" w14:textId="14264449" w:rsidR="00602665" w:rsidRDefault="00602665">
      <w:pPr>
        <w:pStyle w:val="FootnoteText"/>
      </w:pPr>
      <w:r>
        <w:rPr>
          <w:rStyle w:val="FootnoteReference"/>
        </w:rPr>
        <w:footnoteRef/>
      </w:r>
      <w:r>
        <w:t xml:space="preserve"> </w:t>
      </w:r>
      <w:r w:rsidRPr="00D97AB4">
        <w:rPr>
          <w:bCs/>
          <w:i/>
          <w:iCs/>
        </w:rPr>
        <w:t>MPD v. FOP/MPD Labor Comm.</w:t>
      </w:r>
      <w:r w:rsidRPr="00D97AB4">
        <w:rPr>
          <w:bCs/>
        </w:rPr>
        <w:t>,</w:t>
      </w:r>
      <w:r>
        <w:rPr>
          <w:bCs/>
        </w:rPr>
        <w:t xml:space="preserve"> </w:t>
      </w:r>
      <w:r w:rsidRPr="00D97AB4">
        <w:rPr>
          <w:bCs/>
        </w:rPr>
        <w:t xml:space="preserve">Slip Op. No. </w:t>
      </w:r>
      <w:r>
        <w:rPr>
          <w:bCs/>
        </w:rPr>
        <w:t>1783 at 2-3.</w:t>
      </w:r>
    </w:p>
  </w:footnote>
  <w:footnote w:id="15">
    <w:p w14:paraId="3EEB8DA8" w14:textId="57318E4B" w:rsidR="003125FF" w:rsidRDefault="003125FF">
      <w:pPr>
        <w:pStyle w:val="FootnoteText"/>
      </w:pPr>
      <w:r>
        <w:rPr>
          <w:rStyle w:val="FootnoteReference"/>
        </w:rPr>
        <w:footnoteRef/>
      </w:r>
      <w:r>
        <w:t xml:space="preserve"> </w:t>
      </w:r>
      <w:r w:rsidRPr="003125FF">
        <w:rPr>
          <w:i/>
          <w:iCs/>
        </w:rPr>
        <w:t xml:space="preserve">Id. </w:t>
      </w:r>
      <w:r>
        <w:t>at 3.</w:t>
      </w:r>
    </w:p>
  </w:footnote>
  <w:footnote w:id="16">
    <w:p w14:paraId="2067B900" w14:textId="269D3255" w:rsidR="001F425E" w:rsidRDefault="001F425E">
      <w:pPr>
        <w:pStyle w:val="FootnoteText"/>
      </w:pPr>
      <w:r>
        <w:rPr>
          <w:rStyle w:val="FootnoteReference"/>
        </w:rPr>
        <w:footnoteRef/>
      </w:r>
      <w:r>
        <w:t xml:space="preserve"> </w:t>
      </w:r>
      <w:r w:rsidRPr="001F425E">
        <w:rPr>
          <w:i/>
          <w:iCs/>
        </w:rPr>
        <w:t>See</w:t>
      </w:r>
      <w:r>
        <w:t xml:space="preserve"> </w:t>
      </w:r>
      <w:r w:rsidRPr="00D97AB4">
        <w:rPr>
          <w:bCs/>
          <w:i/>
          <w:iCs/>
        </w:rPr>
        <w:t>MPD v. FOP/MPD Labor Comm.</w:t>
      </w:r>
      <w:r w:rsidRPr="00D97AB4">
        <w:rPr>
          <w:bCs/>
        </w:rPr>
        <w:t>,</w:t>
      </w:r>
      <w:r>
        <w:rPr>
          <w:bCs/>
        </w:rPr>
        <w:t xml:space="preserve"> </w:t>
      </w:r>
      <w:r w:rsidRPr="00D97AB4">
        <w:rPr>
          <w:bCs/>
        </w:rPr>
        <w:t xml:space="preserve">Slip Op. No. </w:t>
      </w:r>
      <w:r>
        <w:rPr>
          <w:bCs/>
        </w:rPr>
        <w:t>1783.</w:t>
      </w:r>
    </w:p>
  </w:footnote>
  <w:footnote w:id="17">
    <w:p w14:paraId="2309D350" w14:textId="573370B2" w:rsidR="00AF6011" w:rsidRDefault="00AF6011" w:rsidP="00AF6011">
      <w:pPr>
        <w:pStyle w:val="FootnoteText"/>
        <w:jc w:val="both"/>
      </w:pPr>
      <w:r>
        <w:rPr>
          <w:rStyle w:val="FootnoteReference"/>
        </w:rPr>
        <w:footnoteRef/>
      </w:r>
      <w:r>
        <w:t xml:space="preserve"> </w:t>
      </w:r>
      <w:r w:rsidRPr="001230F2">
        <w:rPr>
          <w:bCs/>
          <w:i/>
          <w:iCs/>
        </w:rPr>
        <w:t>Dist. of Columbia Metro. Police Dep't</w:t>
      </w:r>
      <w:r>
        <w:rPr>
          <w:bCs/>
        </w:rPr>
        <w:t xml:space="preserve">, </w:t>
      </w:r>
      <w:r w:rsidRPr="001230F2">
        <w:rPr>
          <w:bCs/>
        </w:rPr>
        <w:t xml:space="preserve">No. </w:t>
      </w:r>
      <w:r>
        <w:rPr>
          <w:bCs/>
        </w:rPr>
        <w:t>22</w:t>
      </w:r>
      <w:r w:rsidRPr="001230F2">
        <w:rPr>
          <w:bCs/>
        </w:rPr>
        <w:t>-CV-</w:t>
      </w:r>
      <w:r>
        <w:rPr>
          <w:bCs/>
        </w:rPr>
        <w:t>0433</w:t>
      </w:r>
      <w:r w:rsidRPr="00D96D5D">
        <w:rPr>
          <w:bCs/>
        </w:rPr>
        <w:t xml:space="preserve"> at</w:t>
      </w:r>
      <w:r>
        <w:rPr>
          <w:bCs/>
        </w:rPr>
        <w:t xml:space="preserve"> 1 </w:t>
      </w:r>
      <w:r w:rsidRPr="001230F2">
        <w:rPr>
          <w:bCs/>
        </w:rPr>
        <w:t>(D.C.</w:t>
      </w:r>
      <w:r>
        <w:rPr>
          <w:bCs/>
        </w:rPr>
        <w:t xml:space="preserve"> Dec. 19, 2023).</w:t>
      </w:r>
    </w:p>
  </w:footnote>
  <w:footnote w:id="18">
    <w:p w14:paraId="1CBBADEB" w14:textId="3D2516D9" w:rsidR="003B0972" w:rsidRDefault="003B0972" w:rsidP="00AF6011">
      <w:pPr>
        <w:pStyle w:val="FootnoteText"/>
        <w:jc w:val="both"/>
      </w:pPr>
      <w:r>
        <w:rPr>
          <w:rStyle w:val="FootnoteReference"/>
        </w:rPr>
        <w:footnoteRef/>
      </w:r>
      <w:r>
        <w:t xml:space="preserve"> </w:t>
      </w:r>
      <w:r w:rsidR="00AF6011">
        <w:rPr>
          <w:bCs/>
          <w:i/>
          <w:iCs/>
        </w:rPr>
        <w:t>Id.</w:t>
      </w:r>
    </w:p>
  </w:footnote>
  <w:footnote w:id="19">
    <w:p w14:paraId="686DEF36" w14:textId="35E9073D" w:rsidR="005D37BF" w:rsidRDefault="005D37BF" w:rsidP="00AF6011">
      <w:pPr>
        <w:pStyle w:val="FootnoteText"/>
        <w:jc w:val="both"/>
      </w:pPr>
      <w:r>
        <w:rPr>
          <w:rStyle w:val="FootnoteReference"/>
        </w:rPr>
        <w:footnoteRef/>
      </w:r>
      <w:r>
        <w:t xml:space="preserve"> </w:t>
      </w:r>
      <w:r w:rsidRPr="005D37BF">
        <w:rPr>
          <w:bCs/>
          <w:i/>
          <w:iCs/>
        </w:rPr>
        <w:t xml:space="preserve">See </w:t>
      </w:r>
      <w:r>
        <w:rPr>
          <w:bCs/>
        </w:rPr>
        <w:t>D</w:t>
      </w:r>
      <w:r w:rsidRPr="00D96D5D">
        <w:rPr>
          <w:bCs/>
        </w:rPr>
        <w:t>.C. Law 24-345, 70 D.C. Reg. 953 (</w:t>
      </w:r>
      <w:r>
        <w:rPr>
          <w:bCs/>
        </w:rPr>
        <w:t xml:space="preserve">Jan. 27, </w:t>
      </w:r>
      <w:r w:rsidRPr="00D96D5D">
        <w:rPr>
          <w:bCs/>
        </w:rPr>
        <w:t>2023)</w:t>
      </w:r>
      <w:r>
        <w:rPr>
          <w:bCs/>
        </w:rPr>
        <w:t>.</w:t>
      </w:r>
    </w:p>
  </w:footnote>
  <w:footnote w:id="20">
    <w:p w14:paraId="5009AEFB" w14:textId="7199BA79" w:rsidR="00AF6011" w:rsidRDefault="00AF6011" w:rsidP="00AF6011">
      <w:pPr>
        <w:pStyle w:val="FootnoteText"/>
        <w:jc w:val="both"/>
      </w:pPr>
      <w:r>
        <w:rPr>
          <w:rStyle w:val="FootnoteReference"/>
        </w:rPr>
        <w:footnoteRef/>
      </w:r>
      <w:r>
        <w:t xml:space="preserve"> </w:t>
      </w:r>
      <w:r w:rsidRPr="001230F2">
        <w:rPr>
          <w:bCs/>
          <w:i/>
          <w:iCs/>
        </w:rPr>
        <w:t>Dist. of Columbia Metro. Police Dep't</w:t>
      </w:r>
      <w:r>
        <w:rPr>
          <w:bCs/>
        </w:rPr>
        <w:t xml:space="preserve">, </w:t>
      </w:r>
      <w:r w:rsidRPr="001230F2">
        <w:rPr>
          <w:bCs/>
        </w:rPr>
        <w:t xml:space="preserve">No. </w:t>
      </w:r>
      <w:r>
        <w:rPr>
          <w:bCs/>
        </w:rPr>
        <w:t>22</w:t>
      </w:r>
      <w:r w:rsidRPr="001230F2">
        <w:rPr>
          <w:bCs/>
        </w:rPr>
        <w:t>-CV-</w:t>
      </w:r>
      <w:r>
        <w:rPr>
          <w:bCs/>
        </w:rPr>
        <w:t>0433</w:t>
      </w:r>
      <w:r w:rsidRPr="00D96D5D">
        <w:rPr>
          <w:bCs/>
        </w:rPr>
        <w:t xml:space="preserve"> at</w:t>
      </w:r>
      <w:r>
        <w:rPr>
          <w:bCs/>
        </w:rPr>
        <w:t xml:space="preserve"> 1 </w:t>
      </w:r>
      <w:r w:rsidRPr="001230F2">
        <w:rPr>
          <w:bCs/>
        </w:rPr>
        <w:t>(D.C.</w:t>
      </w:r>
      <w:r>
        <w:rPr>
          <w:bCs/>
        </w:rPr>
        <w:t xml:space="preserve"> Dec. 19, 2023).</w:t>
      </w:r>
      <w:r>
        <w:t xml:space="preserve">  The Court noted that it has upheld the Reform Act’s retroactive repeal against various challenges. </w:t>
      </w:r>
      <w:r w:rsidRPr="00AF6011">
        <w:rPr>
          <w:i/>
          <w:iCs/>
        </w:rPr>
        <w:t>See D.C. MPD v. D.C. PERB</w:t>
      </w:r>
      <w:r w:rsidRPr="00AF6011">
        <w:t>, 301 A.3d 714 (D.C. 2023)</w:t>
      </w:r>
      <w:r>
        <w:t>.</w:t>
      </w:r>
    </w:p>
  </w:footnote>
  <w:footnote w:id="21">
    <w:p w14:paraId="63ADBD7E" w14:textId="2525B3F9" w:rsidR="00490A60" w:rsidRDefault="00490A60" w:rsidP="00AF6011">
      <w:pPr>
        <w:pStyle w:val="FootnoteText"/>
        <w:jc w:val="both"/>
      </w:pPr>
      <w:r>
        <w:rPr>
          <w:rStyle w:val="FootnoteReference"/>
        </w:rPr>
        <w:footnoteRef/>
      </w:r>
      <w:r>
        <w:t xml:space="preserve"> </w:t>
      </w:r>
      <w:r w:rsidRPr="00D97AB4">
        <w:rPr>
          <w:bCs/>
          <w:i/>
          <w:iCs/>
        </w:rPr>
        <w:t>MPD v. FOP/MPD Labor Comm.</w:t>
      </w:r>
      <w:r w:rsidRPr="00D97AB4">
        <w:rPr>
          <w:bCs/>
        </w:rPr>
        <w:t>, 6</w:t>
      </w:r>
      <w:r>
        <w:rPr>
          <w:bCs/>
        </w:rPr>
        <w:t>8</w:t>
      </w:r>
      <w:r w:rsidRPr="00D97AB4">
        <w:rPr>
          <w:bCs/>
        </w:rPr>
        <w:t xml:space="preserve"> D.C. Reg.</w:t>
      </w:r>
      <w:r>
        <w:rPr>
          <w:bCs/>
        </w:rPr>
        <w:t xml:space="preserve"> 5072</w:t>
      </w:r>
      <w:r w:rsidRPr="00D97AB4">
        <w:rPr>
          <w:bCs/>
        </w:rPr>
        <w:t xml:space="preserve">, Slip Op. No. </w:t>
      </w:r>
      <w:r>
        <w:rPr>
          <w:bCs/>
        </w:rPr>
        <w:t>1783</w:t>
      </w:r>
      <w:r w:rsidRPr="00D97AB4">
        <w:rPr>
          <w:bCs/>
        </w:rPr>
        <w:t xml:space="preserve">, PERB Case No. </w:t>
      </w:r>
      <w:r>
        <w:rPr>
          <w:bCs/>
        </w:rPr>
        <w:t>21</w:t>
      </w:r>
      <w:r w:rsidRPr="00D97AB4">
        <w:rPr>
          <w:bCs/>
        </w:rPr>
        <w:t>-A-0</w:t>
      </w:r>
      <w:r>
        <w:rPr>
          <w:bCs/>
        </w:rPr>
        <w:t>6</w:t>
      </w:r>
      <w:r w:rsidRPr="00D97AB4">
        <w:rPr>
          <w:bCs/>
        </w:rPr>
        <w:t xml:space="preserve"> (20</w:t>
      </w:r>
      <w:r>
        <w:rPr>
          <w:bCs/>
        </w:rPr>
        <w:t>21</w:t>
      </w:r>
      <w:r w:rsidRPr="00D97AB4">
        <w:rPr>
          <w:bCs/>
        </w:rPr>
        <w:t>)</w:t>
      </w:r>
      <w:r>
        <w:rPr>
          <w:b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4139905"/>
      <w:docPartObj>
        <w:docPartGallery w:val="Page Numbers (Top of Page)"/>
        <w:docPartUnique/>
      </w:docPartObj>
    </w:sdtPr>
    <w:sdtEndPr/>
    <w:sdtContent>
      <w:p w14:paraId="15A79C7C" w14:textId="77777777" w:rsidR="00A91D0A" w:rsidRPr="00215194" w:rsidRDefault="00A91D0A" w:rsidP="00A91D0A">
        <w:pPr>
          <w:pStyle w:val="Header"/>
        </w:pPr>
        <w:r w:rsidRPr="00215194">
          <w:t>Decision and Order on Remand</w:t>
        </w:r>
      </w:p>
      <w:p w14:paraId="5A2B07DA" w14:textId="5732DBF5" w:rsidR="00A91D0A" w:rsidRPr="00215194" w:rsidRDefault="00A91D0A" w:rsidP="00A91D0A">
        <w:pPr>
          <w:pStyle w:val="Header"/>
        </w:pPr>
        <w:r w:rsidRPr="00215194">
          <w:t xml:space="preserve">PERB Case </w:t>
        </w:r>
        <w:r>
          <w:t>21</w:t>
        </w:r>
        <w:r w:rsidRPr="00215194">
          <w:t>-A-0</w:t>
        </w:r>
        <w:r>
          <w:t>6</w:t>
        </w:r>
        <w:r w:rsidRPr="00215194">
          <w:t>(R)</w:t>
        </w:r>
      </w:p>
      <w:p w14:paraId="3FD928FC" w14:textId="77777777" w:rsidR="00A91D0A" w:rsidRPr="00215194" w:rsidRDefault="00A91D0A" w:rsidP="00A91D0A">
        <w:pPr>
          <w:pStyle w:val="Header"/>
        </w:pPr>
        <w:r w:rsidRPr="00215194">
          <w:t xml:space="preserve">Page </w:t>
        </w:r>
        <w:r w:rsidRPr="00215194">
          <w:fldChar w:fldCharType="begin"/>
        </w:r>
        <w:r w:rsidRPr="00215194">
          <w:instrText xml:space="preserve"> PAGE   \* MERGEFORMAT </w:instrText>
        </w:r>
        <w:r w:rsidRPr="00215194">
          <w:fldChar w:fldCharType="separate"/>
        </w:r>
        <w:r>
          <w:t>3</w:t>
        </w:r>
        <w:r w:rsidRPr="00215194">
          <w:fldChar w:fldCharType="end"/>
        </w:r>
      </w:p>
    </w:sdtContent>
  </w:sdt>
  <w:p w14:paraId="6EA1DB9C" w14:textId="77777777" w:rsidR="00A91D0A" w:rsidRDefault="00A91D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06E6C"/>
    <w:multiLevelType w:val="hybridMultilevel"/>
    <w:tmpl w:val="C618FC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02E58A0"/>
    <w:multiLevelType w:val="hybridMultilevel"/>
    <w:tmpl w:val="3D8A4CD8"/>
    <w:lvl w:ilvl="0" w:tplc="BD282D98">
      <w:start w:val="1"/>
      <w:numFmt w:val="upperRoman"/>
      <w:lvlText w:val="%1."/>
      <w:lvlJc w:val="left"/>
      <w:pPr>
        <w:ind w:left="1080" w:hanging="720"/>
      </w:pPr>
      <w:rPr>
        <w:rFonts w:hint="default"/>
        <w:b/>
        <w:bCs/>
      </w:rPr>
    </w:lvl>
    <w:lvl w:ilvl="1" w:tplc="5EA0B770">
      <w:start w:val="1"/>
      <w:numFmt w:val="upperLetter"/>
      <w:lvlText w:val="%2."/>
      <w:lvlJc w:val="left"/>
      <w:pPr>
        <w:ind w:left="1440" w:hanging="360"/>
      </w:pPr>
      <w:rPr>
        <w:rFonts w:hint="default"/>
        <w:b/>
        <w:bCs w:val="0"/>
      </w:rPr>
    </w:lvl>
    <w:lvl w:ilvl="2" w:tplc="0409001B">
      <w:start w:val="1"/>
      <w:numFmt w:val="lowerRoman"/>
      <w:lvlText w:val="%3."/>
      <w:lvlJc w:val="right"/>
      <w:pPr>
        <w:ind w:left="2340" w:hanging="360"/>
      </w:pPr>
    </w:lvl>
    <w:lvl w:ilvl="3" w:tplc="90AEF188">
      <w:start w:val="1"/>
      <w:numFmt w:val="decimal"/>
      <w:lvlText w:val="%4."/>
      <w:lvlJc w:val="left"/>
      <w:pPr>
        <w:ind w:left="207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311278">
    <w:abstractNumId w:val="1"/>
  </w:num>
  <w:num w:numId="2" w16cid:durableId="1492868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DE6"/>
    <w:rsid w:val="00047CAC"/>
    <w:rsid w:val="000B00E6"/>
    <w:rsid w:val="001F425E"/>
    <w:rsid w:val="002B0DE6"/>
    <w:rsid w:val="003125FF"/>
    <w:rsid w:val="003B0972"/>
    <w:rsid w:val="00490A60"/>
    <w:rsid w:val="00495C71"/>
    <w:rsid w:val="005A2206"/>
    <w:rsid w:val="005D37BF"/>
    <w:rsid w:val="005E33A5"/>
    <w:rsid w:val="005E6B73"/>
    <w:rsid w:val="00602665"/>
    <w:rsid w:val="006517E7"/>
    <w:rsid w:val="006F6798"/>
    <w:rsid w:val="007A1E23"/>
    <w:rsid w:val="008301E9"/>
    <w:rsid w:val="008B6840"/>
    <w:rsid w:val="008E1694"/>
    <w:rsid w:val="00925A11"/>
    <w:rsid w:val="00A83788"/>
    <w:rsid w:val="00A91D0A"/>
    <w:rsid w:val="00AA03FF"/>
    <w:rsid w:val="00AF0F7C"/>
    <w:rsid w:val="00AF6011"/>
    <w:rsid w:val="00B63C78"/>
    <w:rsid w:val="00BF7336"/>
    <w:rsid w:val="00ED4720"/>
    <w:rsid w:val="00EF7C6E"/>
    <w:rsid w:val="00FA7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5963F"/>
  <w15:chartTrackingRefBased/>
  <w15:docId w15:val="{9F172FC4-4782-4BC0-BEA1-5D0F32A8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788"/>
    <w:rPr>
      <w:rFonts w:ascii="Times New Roman" w:hAnsi="Times New Roman" w:cs="Times New Roman"/>
      <w:sz w:val="24"/>
      <w:szCs w:val="24"/>
    </w:rPr>
  </w:style>
  <w:style w:type="paragraph" w:styleId="Heading1">
    <w:name w:val="heading 1"/>
    <w:basedOn w:val="Normal"/>
    <w:next w:val="Normal"/>
    <w:link w:val="Heading1Char"/>
    <w:uiPriority w:val="9"/>
    <w:qFormat/>
    <w:rsid w:val="002B0D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0D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0D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0D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0D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0D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D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D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D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D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0D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0D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0D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D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D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D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D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DE6"/>
    <w:rPr>
      <w:rFonts w:eastAsiaTheme="majorEastAsia" w:cstheme="majorBidi"/>
      <w:color w:val="272727" w:themeColor="text1" w:themeTint="D8"/>
    </w:rPr>
  </w:style>
  <w:style w:type="paragraph" w:styleId="Title">
    <w:name w:val="Title"/>
    <w:basedOn w:val="Normal"/>
    <w:next w:val="Normal"/>
    <w:link w:val="TitleChar"/>
    <w:uiPriority w:val="10"/>
    <w:qFormat/>
    <w:rsid w:val="002B0D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D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DE6"/>
    <w:pPr>
      <w:spacing w:before="160"/>
      <w:jc w:val="center"/>
    </w:pPr>
    <w:rPr>
      <w:i/>
      <w:iCs/>
      <w:color w:val="404040" w:themeColor="text1" w:themeTint="BF"/>
    </w:rPr>
  </w:style>
  <w:style w:type="character" w:customStyle="1" w:styleId="QuoteChar">
    <w:name w:val="Quote Char"/>
    <w:basedOn w:val="DefaultParagraphFont"/>
    <w:link w:val="Quote"/>
    <w:uiPriority w:val="29"/>
    <w:rsid w:val="002B0DE6"/>
    <w:rPr>
      <w:i/>
      <w:iCs/>
      <w:color w:val="404040" w:themeColor="text1" w:themeTint="BF"/>
    </w:rPr>
  </w:style>
  <w:style w:type="paragraph" w:styleId="ListParagraph">
    <w:name w:val="List Paragraph"/>
    <w:basedOn w:val="Normal"/>
    <w:uiPriority w:val="34"/>
    <w:qFormat/>
    <w:rsid w:val="002B0DE6"/>
    <w:pPr>
      <w:ind w:left="720"/>
      <w:contextualSpacing/>
    </w:pPr>
  </w:style>
  <w:style w:type="character" w:styleId="IntenseEmphasis">
    <w:name w:val="Intense Emphasis"/>
    <w:basedOn w:val="DefaultParagraphFont"/>
    <w:uiPriority w:val="21"/>
    <w:qFormat/>
    <w:rsid w:val="002B0DE6"/>
    <w:rPr>
      <w:i/>
      <w:iCs/>
      <w:color w:val="0F4761" w:themeColor="accent1" w:themeShade="BF"/>
    </w:rPr>
  </w:style>
  <w:style w:type="paragraph" w:styleId="IntenseQuote">
    <w:name w:val="Intense Quote"/>
    <w:basedOn w:val="Normal"/>
    <w:next w:val="Normal"/>
    <w:link w:val="IntenseQuoteChar"/>
    <w:uiPriority w:val="30"/>
    <w:qFormat/>
    <w:rsid w:val="002B0D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DE6"/>
    <w:rPr>
      <w:i/>
      <w:iCs/>
      <w:color w:val="0F4761" w:themeColor="accent1" w:themeShade="BF"/>
    </w:rPr>
  </w:style>
  <w:style w:type="character" w:styleId="IntenseReference">
    <w:name w:val="Intense Reference"/>
    <w:basedOn w:val="DefaultParagraphFont"/>
    <w:uiPriority w:val="32"/>
    <w:qFormat/>
    <w:rsid w:val="002B0DE6"/>
    <w:rPr>
      <w:b/>
      <w:bCs/>
      <w:smallCaps/>
      <w:color w:val="0F4761" w:themeColor="accent1" w:themeShade="BF"/>
      <w:spacing w:val="5"/>
    </w:rPr>
  </w:style>
  <w:style w:type="paragraph" w:styleId="FootnoteText">
    <w:name w:val="footnote text"/>
    <w:basedOn w:val="Normal"/>
    <w:link w:val="FootnoteTextChar"/>
    <w:uiPriority w:val="99"/>
    <w:unhideWhenUsed/>
    <w:rsid w:val="00A83788"/>
    <w:pPr>
      <w:spacing w:after="0" w:line="240" w:lineRule="auto"/>
    </w:pPr>
    <w:rPr>
      <w:sz w:val="20"/>
      <w:szCs w:val="20"/>
    </w:rPr>
  </w:style>
  <w:style w:type="character" w:customStyle="1" w:styleId="FootnoteTextChar">
    <w:name w:val="Footnote Text Char"/>
    <w:basedOn w:val="DefaultParagraphFont"/>
    <w:link w:val="FootnoteText"/>
    <w:uiPriority w:val="99"/>
    <w:rsid w:val="00A83788"/>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A83788"/>
    <w:rPr>
      <w:vertAlign w:val="superscript"/>
    </w:rPr>
  </w:style>
  <w:style w:type="paragraph" w:styleId="BodyTextIndent">
    <w:name w:val="Body Text Indent"/>
    <w:basedOn w:val="Normal"/>
    <w:link w:val="BodyTextIndentChar"/>
    <w:uiPriority w:val="99"/>
    <w:unhideWhenUsed/>
    <w:rsid w:val="00490A60"/>
    <w:pPr>
      <w:spacing w:before="240"/>
      <w:ind w:firstLine="720"/>
    </w:pPr>
    <w:rPr>
      <w:rFonts w:eastAsia="Calibri"/>
      <w:bCs/>
      <w:kern w:val="0"/>
    </w:rPr>
  </w:style>
  <w:style w:type="character" w:customStyle="1" w:styleId="BodyTextIndentChar">
    <w:name w:val="Body Text Indent Char"/>
    <w:basedOn w:val="DefaultParagraphFont"/>
    <w:link w:val="BodyTextIndent"/>
    <w:uiPriority w:val="99"/>
    <w:rsid w:val="00490A60"/>
    <w:rPr>
      <w:rFonts w:ascii="Times New Roman" w:eastAsia="Calibri" w:hAnsi="Times New Roman" w:cs="Times New Roman"/>
      <w:bCs/>
      <w:kern w:val="0"/>
      <w:sz w:val="24"/>
      <w:szCs w:val="24"/>
    </w:rPr>
  </w:style>
  <w:style w:type="paragraph" w:styleId="BodyText">
    <w:name w:val="Body Text"/>
    <w:basedOn w:val="Normal"/>
    <w:link w:val="BodyTextChar"/>
    <w:uiPriority w:val="99"/>
    <w:semiHidden/>
    <w:unhideWhenUsed/>
    <w:rsid w:val="00490A60"/>
    <w:pPr>
      <w:spacing w:after="120"/>
    </w:pPr>
  </w:style>
  <w:style w:type="character" w:customStyle="1" w:styleId="BodyTextChar">
    <w:name w:val="Body Text Char"/>
    <w:basedOn w:val="DefaultParagraphFont"/>
    <w:link w:val="BodyText"/>
    <w:uiPriority w:val="99"/>
    <w:semiHidden/>
    <w:rsid w:val="00490A60"/>
    <w:rPr>
      <w:rFonts w:ascii="Times New Roman" w:hAnsi="Times New Roman" w:cs="Times New Roman"/>
      <w:sz w:val="24"/>
      <w:szCs w:val="24"/>
    </w:rPr>
  </w:style>
  <w:style w:type="paragraph" w:styleId="Header">
    <w:name w:val="header"/>
    <w:basedOn w:val="Normal"/>
    <w:link w:val="HeaderChar"/>
    <w:uiPriority w:val="99"/>
    <w:unhideWhenUsed/>
    <w:rsid w:val="00A91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D0A"/>
    <w:rPr>
      <w:rFonts w:ascii="Times New Roman" w:hAnsi="Times New Roman" w:cs="Times New Roman"/>
      <w:sz w:val="24"/>
      <w:szCs w:val="24"/>
    </w:rPr>
  </w:style>
  <w:style w:type="paragraph" w:styleId="Footer">
    <w:name w:val="footer"/>
    <w:basedOn w:val="Normal"/>
    <w:link w:val="FooterChar"/>
    <w:uiPriority w:val="99"/>
    <w:unhideWhenUsed/>
    <w:rsid w:val="00A91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D0A"/>
    <w:rPr>
      <w:rFonts w:ascii="Times New Roman" w:hAnsi="Times New Roman" w:cs="Times New Roman"/>
      <w:sz w:val="24"/>
      <w:szCs w:val="24"/>
    </w:rPr>
  </w:style>
  <w:style w:type="paragraph" w:styleId="Revision">
    <w:name w:val="Revision"/>
    <w:hidden/>
    <w:uiPriority w:val="99"/>
    <w:semiHidden/>
    <w:rsid w:val="000B00E6"/>
    <w:pPr>
      <w:spacing w:after="0" w:line="240" w:lineRule="auto"/>
    </w:pPr>
    <w:rPr>
      <w:rFonts w:ascii="Times New Roman" w:hAnsi="Times New Roman" w:cs="Times New Roman"/>
      <w:sz w:val="24"/>
      <w:szCs w:val="24"/>
    </w:rPr>
  </w:style>
  <w:style w:type="paragraph" w:styleId="NormalWeb">
    <w:name w:val="Normal (Web)"/>
    <w:basedOn w:val="Normal"/>
    <w:uiPriority w:val="99"/>
    <w:semiHidden/>
    <w:unhideWhenUsed/>
    <w:rsid w:val="005E33A5"/>
    <w:pPr>
      <w:spacing w:before="100" w:beforeAutospacing="1" w:after="100" w:afterAutospacing="1" w:line="240" w:lineRule="auto"/>
    </w:pPr>
    <w:rPr>
      <w:rFonts w:eastAsia="Times New Roman"/>
      <w:kern w:val="0"/>
      <w14:ligatures w14:val="none"/>
    </w:rPr>
  </w:style>
  <w:style w:type="character" w:styleId="Strong">
    <w:name w:val="Strong"/>
    <w:basedOn w:val="DefaultParagraphFont"/>
    <w:uiPriority w:val="22"/>
    <w:qFormat/>
    <w:rsid w:val="005E33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290032">
      <w:bodyDiv w:val="1"/>
      <w:marLeft w:val="0"/>
      <w:marRight w:val="0"/>
      <w:marTop w:val="0"/>
      <w:marBottom w:val="0"/>
      <w:divBdr>
        <w:top w:val="none" w:sz="0" w:space="0" w:color="auto"/>
        <w:left w:val="none" w:sz="0" w:space="0" w:color="auto"/>
        <w:bottom w:val="none" w:sz="0" w:space="0" w:color="auto"/>
        <w:right w:val="none" w:sz="0" w:space="0" w:color="auto"/>
      </w:divBdr>
    </w:div>
    <w:div w:id="169931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F5CDFF1FD5D9498FAA1722714441FA" ma:contentTypeVersion="8" ma:contentTypeDescription="Create a new document." ma:contentTypeScope="" ma:versionID="c33de8611ad784785e3ab82947dff6e9">
  <xsd:schema xmlns:xsd="http://www.w3.org/2001/XMLSchema" xmlns:xs="http://www.w3.org/2001/XMLSchema" xmlns:p="http://schemas.microsoft.com/office/2006/metadata/properties" xmlns:ns3="ef01e5f0-e043-49e4-b714-2ad305e849d6" xmlns:ns4="b6c2ef06-9bd2-475a-ab5a-f2a58683330c" targetNamespace="http://schemas.microsoft.com/office/2006/metadata/properties" ma:root="true" ma:fieldsID="66482af801e26ecb6c79bbc4196b54a0" ns3:_="" ns4:_="">
    <xsd:import namespace="ef01e5f0-e043-49e4-b714-2ad305e849d6"/>
    <xsd:import namespace="b6c2ef06-9bd2-475a-ab5a-f2a58683330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1e5f0-e043-49e4-b714-2ad305e84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c2ef06-9bd2-475a-ab5a-f2a58683330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f01e5f0-e043-49e4-b714-2ad305e849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13CB70-5689-4167-959C-B1322F968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1e5f0-e043-49e4-b714-2ad305e849d6"/>
    <ds:schemaRef ds:uri="b6c2ef06-9bd2-475a-ab5a-f2a586833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D85BDF-1164-4D22-AEE8-C8DEA8868018}">
  <ds:schemaRefs>
    <ds:schemaRef ds:uri="http://purl.org/dc/terms/"/>
    <ds:schemaRef ds:uri="ef01e5f0-e043-49e4-b714-2ad305e849d6"/>
    <ds:schemaRef ds:uri="http://schemas.microsoft.com/office/2006/documentManagement/types"/>
    <ds:schemaRef ds:uri="http://www.w3.org/XML/1998/namespace"/>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b6c2ef06-9bd2-475a-ab5a-f2a58683330c"/>
    <ds:schemaRef ds:uri="http://purl.org/dc/dcmitype/"/>
  </ds:schemaRefs>
</ds:datastoreItem>
</file>

<file path=customXml/itemProps3.xml><?xml version="1.0" encoding="utf-8"?>
<ds:datastoreItem xmlns:ds="http://schemas.openxmlformats.org/officeDocument/2006/customXml" ds:itemID="{65D70E46-56D3-431C-AB64-8DF40BF0C1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921</Words>
  <Characters>5251</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Ruth (PERB)</dc:creator>
  <cp:keywords/>
  <dc:description/>
  <cp:lastModifiedBy>Elam, Gertie (PERB)</cp:lastModifiedBy>
  <cp:revision>2</cp:revision>
  <dcterms:created xsi:type="dcterms:W3CDTF">2024-04-24T13:39:00Z</dcterms:created>
  <dcterms:modified xsi:type="dcterms:W3CDTF">2024-04-24T13:39:00Z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0x0101001EF5CDFF1FD5D9498FAA1722714441FA</vt:lpwstr>
  </property>
</Properties>
</file>