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6C79C" w14:textId="77777777" w:rsidR="00535911" w:rsidRPr="00611367" w:rsidRDefault="00535911" w:rsidP="00535911">
      <w:pPr>
        <w:tabs>
          <w:tab w:val="center" w:pos="4680"/>
          <w:tab w:val="right" w:pos="9360"/>
        </w:tabs>
        <w:spacing w:after="0" w:line="240" w:lineRule="auto"/>
        <w:jc w:val="both"/>
      </w:pPr>
      <w:r w:rsidRPr="00611367">
        <w:t>Notice: This decision may be formally revised before it is published in the District of Columbia Register. Parties should promptly notify this office of any errors so that they may be corrected before publishing the decision. This notice is not intended to provide an opportunity for a substantive challenge to the decision.</w:t>
      </w:r>
    </w:p>
    <w:p w14:paraId="70A17A89" w14:textId="77777777" w:rsidR="00535911" w:rsidRDefault="00535911" w:rsidP="00D71D59">
      <w:pPr>
        <w:widowControl w:val="0"/>
        <w:spacing w:after="0" w:line="240" w:lineRule="auto"/>
        <w:jc w:val="center"/>
        <w:rPr>
          <w:b/>
          <w:bCs/>
          <w:sz w:val="24"/>
          <w:szCs w:val="24"/>
        </w:rPr>
      </w:pPr>
    </w:p>
    <w:p w14:paraId="33FE64C6" w14:textId="233259D5" w:rsidR="008C001E" w:rsidRPr="000D5B3D" w:rsidRDefault="008C001E" w:rsidP="00D71D59">
      <w:pPr>
        <w:widowControl w:val="0"/>
        <w:spacing w:after="0" w:line="240" w:lineRule="auto"/>
        <w:jc w:val="center"/>
        <w:rPr>
          <w:b/>
          <w:bCs/>
          <w:sz w:val="24"/>
          <w:szCs w:val="24"/>
        </w:rPr>
      </w:pPr>
      <w:r w:rsidRPr="000D5B3D">
        <w:rPr>
          <w:b/>
          <w:bCs/>
          <w:sz w:val="24"/>
          <w:szCs w:val="24"/>
        </w:rPr>
        <w:t>Government of the District of Columbia</w:t>
      </w:r>
      <w:r w:rsidR="00836448">
        <w:rPr>
          <w:b/>
          <w:bCs/>
          <w:sz w:val="24"/>
          <w:szCs w:val="24"/>
        </w:rPr>
        <w:t xml:space="preserve"> </w:t>
      </w:r>
    </w:p>
    <w:p w14:paraId="416CD92B" w14:textId="77777777" w:rsidR="008C001E" w:rsidRPr="000D5B3D" w:rsidRDefault="008C001E" w:rsidP="00D71D59">
      <w:pPr>
        <w:widowControl w:val="0"/>
        <w:spacing w:after="0" w:line="240" w:lineRule="auto"/>
        <w:jc w:val="center"/>
        <w:rPr>
          <w:b/>
          <w:bCs/>
          <w:sz w:val="24"/>
          <w:szCs w:val="24"/>
        </w:rPr>
      </w:pPr>
      <w:r w:rsidRPr="000D5B3D">
        <w:rPr>
          <w:b/>
          <w:bCs/>
          <w:sz w:val="24"/>
          <w:szCs w:val="24"/>
        </w:rPr>
        <w:t>Public Employee Relations Board</w:t>
      </w:r>
    </w:p>
    <w:p w14:paraId="07D42D47" w14:textId="77777777" w:rsidR="008C001E" w:rsidRPr="000D5B3D" w:rsidRDefault="008C001E" w:rsidP="00C2516A">
      <w:pPr>
        <w:widowControl w:val="0"/>
        <w:spacing w:after="0" w:line="240" w:lineRule="auto"/>
        <w:ind w:firstLine="720"/>
        <w:jc w:val="both"/>
        <w:rPr>
          <w:b/>
          <w:bCs/>
          <w:sz w:val="24"/>
          <w:szCs w:val="24"/>
        </w:rPr>
      </w:pPr>
    </w:p>
    <w:p w14:paraId="71D9AA6C" w14:textId="77777777" w:rsidR="00124613" w:rsidRDefault="00124613" w:rsidP="00C2516A">
      <w:pPr>
        <w:widowControl w:val="0"/>
        <w:spacing w:after="0" w:line="240" w:lineRule="auto"/>
        <w:jc w:val="both"/>
        <w:rPr>
          <w:bCs/>
          <w:sz w:val="24"/>
          <w:szCs w:val="24"/>
        </w:rPr>
      </w:pPr>
      <w:r>
        <w:rPr>
          <w:bCs/>
          <w:sz w:val="24"/>
          <w:szCs w:val="24"/>
        </w:rPr>
        <w:t>_________________________________________</w:t>
      </w:r>
      <w:r>
        <w:rPr>
          <w:bCs/>
          <w:sz w:val="24"/>
          <w:szCs w:val="24"/>
        </w:rPr>
        <w:tab/>
      </w:r>
    </w:p>
    <w:p w14:paraId="466BE2D3" w14:textId="7B92DCFE" w:rsidR="00124613" w:rsidRDefault="00124613" w:rsidP="00180475">
      <w:pPr>
        <w:widowControl w:val="0"/>
        <w:tabs>
          <w:tab w:val="left" w:pos="720"/>
          <w:tab w:val="left" w:pos="1440"/>
          <w:tab w:val="left" w:pos="2160"/>
          <w:tab w:val="left" w:pos="2880"/>
          <w:tab w:val="left" w:pos="3600"/>
          <w:tab w:val="left" w:pos="4320"/>
          <w:tab w:val="left" w:pos="5040"/>
          <w:tab w:val="left" w:pos="6744"/>
        </w:tabs>
        <w:spacing w:after="0" w:line="240" w:lineRule="auto"/>
        <w:jc w:val="both"/>
        <w:rPr>
          <w:bCs/>
          <w:sz w:val="24"/>
          <w:szCs w:val="24"/>
        </w:rPr>
      </w:pP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t>)</w:t>
      </w:r>
      <w:r w:rsidR="00180475">
        <w:rPr>
          <w:bCs/>
          <w:sz w:val="24"/>
          <w:szCs w:val="24"/>
        </w:rPr>
        <w:tab/>
      </w:r>
    </w:p>
    <w:p w14:paraId="33E9A094" w14:textId="77777777" w:rsidR="00124613" w:rsidRDefault="00124613" w:rsidP="00C2516A">
      <w:pPr>
        <w:widowControl w:val="0"/>
        <w:spacing w:after="0" w:line="240" w:lineRule="auto"/>
        <w:jc w:val="both"/>
        <w:rPr>
          <w:bCs/>
          <w:sz w:val="24"/>
          <w:szCs w:val="24"/>
        </w:rPr>
      </w:pPr>
      <w:r>
        <w:rPr>
          <w:bCs/>
          <w:sz w:val="24"/>
          <w:szCs w:val="24"/>
        </w:rPr>
        <w:t>In the Matter of:</w:t>
      </w:r>
      <w:r>
        <w:rPr>
          <w:bCs/>
          <w:sz w:val="24"/>
          <w:szCs w:val="24"/>
        </w:rPr>
        <w:tab/>
      </w:r>
      <w:r>
        <w:rPr>
          <w:bCs/>
          <w:sz w:val="24"/>
          <w:szCs w:val="24"/>
        </w:rPr>
        <w:tab/>
      </w:r>
      <w:r>
        <w:rPr>
          <w:bCs/>
          <w:sz w:val="24"/>
          <w:szCs w:val="24"/>
        </w:rPr>
        <w:tab/>
      </w:r>
      <w:r>
        <w:rPr>
          <w:bCs/>
          <w:sz w:val="24"/>
          <w:szCs w:val="24"/>
        </w:rPr>
        <w:tab/>
      </w:r>
      <w:r>
        <w:rPr>
          <w:bCs/>
          <w:sz w:val="24"/>
          <w:szCs w:val="24"/>
        </w:rPr>
        <w:tab/>
        <w:t>)</w:t>
      </w:r>
    </w:p>
    <w:p w14:paraId="24C22522" w14:textId="77777777" w:rsidR="00124613" w:rsidRDefault="00124613" w:rsidP="00C2516A">
      <w:pPr>
        <w:widowControl w:val="0"/>
        <w:spacing w:after="0" w:line="240" w:lineRule="auto"/>
        <w:jc w:val="both"/>
        <w:rPr>
          <w:bCs/>
          <w:sz w:val="24"/>
          <w:szCs w:val="24"/>
        </w:rPr>
      </w:pP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sidRPr="2B88B4C4">
        <w:rPr>
          <w:sz w:val="24"/>
          <w:szCs w:val="24"/>
        </w:rPr>
        <w:t>)</w:t>
      </w:r>
    </w:p>
    <w:p w14:paraId="47175B40" w14:textId="79EF059F" w:rsidR="00124613" w:rsidRDefault="70BCD5A6" w:rsidP="2B88B4C4">
      <w:pPr>
        <w:widowControl w:val="0"/>
        <w:spacing w:after="0" w:line="240" w:lineRule="auto"/>
        <w:jc w:val="both"/>
        <w:rPr>
          <w:sz w:val="24"/>
          <w:szCs w:val="24"/>
        </w:rPr>
      </w:pPr>
      <w:proofErr w:type="gramStart"/>
      <w:r w:rsidRPr="2B88B4C4">
        <w:rPr>
          <w:sz w:val="24"/>
          <w:szCs w:val="24"/>
        </w:rPr>
        <w:t>Office of the Attorney General</w:t>
      </w:r>
      <w:proofErr w:type="gramEnd"/>
      <w:r w:rsidRPr="2B88B4C4">
        <w:rPr>
          <w:sz w:val="24"/>
          <w:szCs w:val="24"/>
        </w:rPr>
        <w:t xml:space="preserve"> for the </w:t>
      </w:r>
      <w:r w:rsidR="007815F1">
        <w:tab/>
      </w:r>
      <w:r w:rsidR="007815F1">
        <w:tab/>
      </w:r>
      <w:r w:rsidR="00124613" w:rsidRPr="2B88B4C4">
        <w:rPr>
          <w:sz w:val="24"/>
          <w:szCs w:val="24"/>
        </w:rPr>
        <w:t>)</w:t>
      </w:r>
    </w:p>
    <w:p w14:paraId="66146E2E" w14:textId="70D7F9B2" w:rsidR="00124613" w:rsidRDefault="7CE5A83D" w:rsidP="2B88B4C4">
      <w:pPr>
        <w:widowControl w:val="0"/>
        <w:spacing w:after="0" w:line="240" w:lineRule="auto"/>
        <w:jc w:val="both"/>
        <w:rPr>
          <w:sz w:val="24"/>
          <w:szCs w:val="24"/>
        </w:rPr>
      </w:pPr>
      <w:r w:rsidRPr="2B88B4C4">
        <w:rPr>
          <w:sz w:val="24"/>
          <w:szCs w:val="24"/>
        </w:rPr>
        <w:t>District of Columbia,</w:t>
      </w:r>
      <w:r w:rsidR="007815F1">
        <w:tab/>
      </w:r>
      <w:r w:rsidR="007815F1">
        <w:tab/>
      </w:r>
      <w:r w:rsidR="007815F1">
        <w:tab/>
      </w:r>
      <w:r w:rsidR="007815F1">
        <w:tab/>
      </w:r>
      <w:r w:rsidR="007815F1">
        <w:tab/>
      </w:r>
      <w:r w:rsidR="00124613" w:rsidRPr="2B88B4C4">
        <w:rPr>
          <w:sz w:val="24"/>
          <w:szCs w:val="24"/>
        </w:rPr>
        <w:t>)</w:t>
      </w:r>
    </w:p>
    <w:p w14:paraId="38D3C2F0" w14:textId="508A0D2A" w:rsidR="00124613" w:rsidRPr="00D057BB" w:rsidRDefault="00124613" w:rsidP="2B88B4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spacing w:after="0" w:line="240" w:lineRule="auto"/>
        <w:ind w:left="4320" w:firstLine="720"/>
        <w:jc w:val="both"/>
        <w:rPr>
          <w:sz w:val="24"/>
          <w:szCs w:val="24"/>
        </w:rPr>
      </w:pPr>
      <w:proofErr w:type="gramStart"/>
      <w:r w:rsidRPr="2B88B4C4">
        <w:rPr>
          <w:sz w:val="24"/>
          <w:szCs w:val="24"/>
        </w:rPr>
        <w:t xml:space="preserve">) </w:t>
      </w:r>
      <w:r>
        <w:tab/>
      </w:r>
      <w:r w:rsidRPr="2B88B4C4">
        <w:rPr>
          <w:sz w:val="24"/>
          <w:szCs w:val="24"/>
        </w:rPr>
        <w:t>PERB</w:t>
      </w:r>
      <w:proofErr w:type="gramEnd"/>
      <w:r w:rsidRPr="2B88B4C4">
        <w:rPr>
          <w:sz w:val="24"/>
          <w:szCs w:val="24"/>
        </w:rPr>
        <w:t xml:space="preserve"> Case No. </w:t>
      </w:r>
      <w:r w:rsidR="1F742AE0" w:rsidRPr="2B88B4C4">
        <w:rPr>
          <w:sz w:val="24"/>
          <w:szCs w:val="24"/>
        </w:rPr>
        <w:t>25-A-03</w:t>
      </w:r>
      <w:r>
        <w:tab/>
      </w:r>
    </w:p>
    <w:p w14:paraId="2EEA3E11" w14:textId="77777777" w:rsidR="00124613" w:rsidRPr="00D057BB" w:rsidRDefault="00124613" w:rsidP="00C2516A">
      <w:pPr>
        <w:widowControl w:val="0"/>
        <w:spacing w:after="0" w:line="240" w:lineRule="auto"/>
        <w:ind w:left="1440" w:firstLine="720"/>
        <w:jc w:val="both"/>
        <w:rPr>
          <w:bCs/>
          <w:sz w:val="24"/>
          <w:szCs w:val="24"/>
        </w:rPr>
      </w:pPr>
      <w:r w:rsidRPr="00D057BB">
        <w:rPr>
          <w:bCs/>
          <w:sz w:val="24"/>
          <w:szCs w:val="24"/>
        </w:rPr>
        <w:t>Petitioner</w:t>
      </w:r>
      <w:r w:rsidRPr="00D057BB">
        <w:rPr>
          <w:bCs/>
          <w:sz w:val="24"/>
          <w:szCs w:val="24"/>
        </w:rPr>
        <w:tab/>
      </w:r>
      <w:r w:rsidRPr="00D057BB">
        <w:rPr>
          <w:bCs/>
          <w:sz w:val="24"/>
          <w:szCs w:val="24"/>
        </w:rPr>
        <w:tab/>
      </w:r>
      <w:r w:rsidRPr="00D057BB">
        <w:rPr>
          <w:bCs/>
          <w:sz w:val="24"/>
          <w:szCs w:val="24"/>
        </w:rPr>
        <w:tab/>
        <w:t>)</w:t>
      </w:r>
    </w:p>
    <w:p w14:paraId="6B5BD396" w14:textId="469516C9" w:rsidR="00124613" w:rsidRPr="00683F47" w:rsidRDefault="00124613" w:rsidP="00C2516A">
      <w:pPr>
        <w:widowControl w:val="0"/>
        <w:spacing w:after="0" w:line="240" w:lineRule="auto"/>
        <w:ind w:firstLine="720"/>
        <w:jc w:val="both"/>
        <w:rPr>
          <w:bCs/>
          <w:sz w:val="24"/>
          <w:szCs w:val="24"/>
        </w:rPr>
      </w:pPr>
      <w:r w:rsidRPr="00D057BB">
        <w:rPr>
          <w:bCs/>
          <w:sz w:val="24"/>
          <w:szCs w:val="24"/>
        </w:rPr>
        <w:tab/>
      </w:r>
      <w:r w:rsidRPr="00D057BB">
        <w:rPr>
          <w:bCs/>
          <w:sz w:val="24"/>
          <w:szCs w:val="24"/>
        </w:rPr>
        <w:tab/>
      </w:r>
      <w:r w:rsidRPr="00D057BB">
        <w:rPr>
          <w:bCs/>
          <w:sz w:val="24"/>
          <w:szCs w:val="24"/>
        </w:rPr>
        <w:tab/>
      </w:r>
      <w:r w:rsidRPr="00D057BB">
        <w:rPr>
          <w:bCs/>
          <w:sz w:val="24"/>
          <w:szCs w:val="24"/>
        </w:rPr>
        <w:tab/>
      </w:r>
      <w:r w:rsidRPr="00D057BB">
        <w:rPr>
          <w:bCs/>
          <w:sz w:val="24"/>
          <w:szCs w:val="24"/>
        </w:rPr>
        <w:tab/>
      </w:r>
      <w:r w:rsidRPr="00D057BB">
        <w:rPr>
          <w:bCs/>
          <w:sz w:val="24"/>
          <w:szCs w:val="24"/>
        </w:rPr>
        <w:tab/>
      </w:r>
      <w:proofErr w:type="gramStart"/>
      <w:r w:rsidRPr="00683F47">
        <w:rPr>
          <w:bCs/>
          <w:sz w:val="24"/>
          <w:szCs w:val="24"/>
        </w:rPr>
        <w:t xml:space="preserve">) </w:t>
      </w:r>
      <w:r w:rsidRPr="00683F47">
        <w:rPr>
          <w:bCs/>
          <w:sz w:val="24"/>
          <w:szCs w:val="24"/>
        </w:rPr>
        <w:tab/>
        <w:t>Opinion</w:t>
      </w:r>
      <w:proofErr w:type="gramEnd"/>
      <w:r w:rsidRPr="00683F47">
        <w:rPr>
          <w:bCs/>
          <w:sz w:val="24"/>
          <w:szCs w:val="24"/>
        </w:rPr>
        <w:t xml:space="preserve"> No.</w:t>
      </w:r>
      <w:r w:rsidR="00592030">
        <w:rPr>
          <w:bCs/>
          <w:sz w:val="24"/>
          <w:szCs w:val="24"/>
        </w:rPr>
        <w:t xml:space="preserve"> </w:t>
      </w:r>
      <w:r w:rsidR="002353B7">
        <w:rPr>
          <w:bCs/>
          <w:sz w:val="24"/>
          <w:szCs w:val="24"/>
        </w:rPr>
        <w:t>1934</w:t>
      </w:r>
    </w:p>
    <w:p w14:paraId="3CD11149" w14:textId="77777777" w:rsidR="00124613" w:rsidRPr="00A97073" w:rsidRDefault="00124613" w:rsidP="00C2516A">
      <w:pPr>
        <w:widowControl w:val="0"/>
        <w:spacing w:after="0" w:line="240" w:lineRule="auto"/>
        <w:ind w:firstLine="720"/>
        <w:jc w:val="both"/>
        <w:rPr>
          <w:bCs/>
          <w:sz w:val="24"/>
          <w:szCs w:val="24"/>
        </w:rPr>
      </w:pPr>
      <w:r w:rsidRPr="00683F47">
        <w:rPr>
          <w:bCs/>
          <w:sz w:val="24"/>
          <w:szCs w:val="24"/>
        </w:rPr>
        <w:tab/>
      </w:r>
      <w:r w:rsidRPr="00A97073">
        <w:rPr>
          <w:bCs/>
          <w:sz w:val="24"/>
          <w:szCs w:val="24"/>
        </w:rPr>
        <w:t>v.</w:t>
      </w:r>
      <w:r w:rsidRPr="00A97073">
        <w:rPr>
          <w:bCs/>
          <w:sz w:val="24"/>
          <w:szCs w:val="24"/>
        </w:rPr>
        <w:tab/>
      </w:r>
      <w:r w:rsidRPr="00A97073">
        <w:rPr>
          <w:bCs/>
          <w:sz w:val="24"/>
          <w:szCs w:val="24"/>
        </w:rPr>
        <w:tab/>
      </w:r>
      <w:r w:rsidRPr="00A97073">
        <w:rPr>
          <w:bCs/>
          <w:sz w:val="24"/>
          <w:szCs w:val="24"/>
        </w:rPr>
        <w:tab/>
      </w:r>
      <w:r w:rsidRPr="00A97073">
        <w:rPr>
          <w:bCs/>
          <w:sz w:val="24"/>
          <w:szCs w:val="24"/>
        </w:rPr>
        <w:tab/>
      </w:r>
      <w:r w:rsidRPr="00A97073">
        <w:rPr>
          <w:bCs/>
          <w:sz w:val="24"/>
          <w:szCs w:val="24"/>
        </w:rPr>
        <w:tab/>
        <w:t>)</w:t>
      </w:r>
      <w:r w:rsidRPr="00A97073">
        <w:rPr>
          <w:bCs/>
          <w:sz w:val="24"/>
          <w:szCs w:val="24"/>
        </w:rPr>
        <w:tab/>
        <w:t xml:space="preserve"> </w:t>
      </w:r>
    </w:p>
    <w:p w14:paraId="3B90F7A9" w14:textId="77777777" w:rsidR="00124613" w:rsidRDefault="00124613" w:rsidP="00C2516A">
      <w:pPr>
        <w:widowControl w:val="0"/>
        <w:spacing w:after="0" w:line="240" w:lineRule="auto"/>
        <w:jc w:val="both"/>
        <w:rPr>
          <w:bCs/>
          <w:sz w:val="24"/>
          <w:szCs w:val="24"/>
        </w:rPr>
      </w:pPr>
      <w:r w:rsidRPr="00A97073">
        <w:rPr>
          <w:bCs/>
          <w:sz w:val="24"/>
          <w:szCs w:val="24"/>
        </w:rPr>
        <w:tab/>
      </w:r>
      <w:r w:rsidRPr="00A97073">
        <w:rPr>
          <w:bCs/>
          <w:sz w:val="24"/>
          <w:szCs w:val="24"/>
        </w:rPr>
        <w:tab/>
      </w:r>
      <w:r w:rsidRPr="00A97073">
        <w:rPr>
          <w:bCs/>
          <w:sz w:val="24"/>
          <w:szCs w:val="24"/>
        </w:rPr>
        <w:tab/>
      </w:r>
      <w:r w:rsidRPr="00A97073">
        <w:rPr>
          <w:bCs/>
          <w:sz w:val="24"/>
          <w:szCs w:val="24"/>
        </w:rPr>
        <w:tab/>
      </w:r>
      <w:r w:rsidRPr="00A97073">
        <w:rPr>
          <w:bCs/>
          <w:sz w:val="24"/>
          <w:szCs w:val="24"/>
        </w:rPr>
        <w:tab/>
      </w:r>
      <w:r w:rsidRPr="00A97073">
        <w:rPr>
          <w:bCs/>
          <w:sz w:val="24"/>
          <w:szCs w:val="24"/>
        </w:rPr>
        <w:tab/>
      </w:r>
      <w:r w:rsidRPr="00A97073">
        <w:rPr>
          <w:bCs/>
          <w:sz w:val="24"/>
          <w:szCs w:val="24"/>
        </w:rPr>
        <w:tab/>
      </w:r>
      <w:r>
        <w:rPr>
          <w:bCs/>
          <w:sz w:val="24"/>
          <w:szCs w:val="24"/>
        </w:rPr>
        <w:t>)</w:t>
      </w:r>
    </w:p>
    <w:p w14:paraId="4379D594" w14:textId="714182D2" w:rsidR="00124613" w:rsidRDefault="5CFCD978" w:rsidP="2B88B4C4">
      <w:pPr>
        <w:widowControl w:val="0"/>
        <w:spacing w:after="0" w:line="240" w:lineRule="auto"/>
        <w:jc w:val="both"/>
        <w:rPr>
          <w:sz w:val="24"/>
          <w:szCs w:val="24"/>
        </w:rPr>
      </w:pPr>
      <w:r w:rsidRPr="2B88B4C4">
        <w:rPr>
          <w:sz w:val="24"/>
          <w:szCs w:val="24"/>
        </w:rPr>
        <w:t>American Federation of State, County and</w:t>
      </w:r>
      <w:r w:rsidR="007815F1" w:rsidRPr="2B88B4C4">
        <w:rPr>
          <w:sz w:val="24"/>
          <w:szCs w:val="24"/>
        </w:rPr>
        <w:t xml:space="preserve">               </w:t>
      </w:r>
      <w:r w:rsidR="007815F1">
        <w:tab/>
      </w:r>
      <w:r w:rsidR="00124613" w:rsidRPr="2B88B4C4">
        <w:rPr>
          <w:sz w:val="24"/>
          <w:szCs w:val="24"/>
        </w:rPr>
        <w:t>)</w:t>
      </w:r>
    </w:p>
    <w:p w14:paraId="340357AC" w14:textId="0B40B316" w:rsidR="00124613" w:rsidRPr="00BB7232" w:rsidRDefault="4BFE1934" w:rsidP="2B88B4C4">
      <w:pPr>
        <w:widowControl w:val="0"/>
        <w:spacing w:after="0" w:line="240" w:lineRule="auto"/>
        <w:jc w:val="both"/>
        <w:rPr>
          <w:sz w:val="24"/>
          <w:szCs w:val="24"/>
          <w:lang w:val="pt-BR"/>
        </w:rPr>
      </w:pPr>
      <w:r w:rsidRPr="00BB7232">
        <w:rPr>
          <w:sz w:val="24"/>
          <w:szCs w:val="24"/>
          <w:lang w:val="pt-BR"/>
        </w:rPr>
        <w:t>Municipal Employees, Local 2401, AFL-CIO,</w:t>
      </w:r>
      <w:r w:rsidR="007815F1" w:rsidRPr="00BB7232">
        <w:rPr>
          <w:lang w:val="pt-BR"/>
        </w:rPr>
        <w:tab/>
      </w:r>
      <w:r w:rsidR="00124613" w:rsidRPr="00BB7232">
        <w:rPr>
          <w:sz w:val="24"/>
          <w:szCs w:val="24"/>
          <w:lang w:val="pt-BR"/>
        </w:rPr>
        <w:t>)</w:t>
      </w:r>
    </w:p>
    <w:p w14:paraId="7F473134" w14:textId="77777777" w:rsidR="00124613" w:rsidRDefault="00124613" w:rsidP="00C2516A">
      <w:pPr>
        <w:widowControl w:val="0"/>
        <w:spacing w:after="0" w:line="240" w:lineRule="auto"/>
        <w:jc w:val="both"/>
        <w:rPr>
          <w:bCs/>
          <w:sz w:val="24"/>
          <w:szCs w:val="24"/>
        </w:rPr>
      </w:pPr>
      <w:r w:rsidRPr="00BB7232">
        <w:rPr>
          <w:bCs/>
          <w:sz w:val="24"/>
          <w:szCs w:val="24"/>
          <w:lang w:val="pt-BR"/>
        </w:rPr>
        <w:tab/>
      </w:r>
      <w:r w:rsidRPr="00BB7232">
        <w:rPr>
          <w:bCs/>
          <w:sz w:val="24"/>
          <w:szCs w:val="24"/>
          <w:lang w:val="pt-BR"/>
        </w:rPr>
        <w:tab/>
      </w:r>
      <w:r w:rsidRPr="00BB7232">
        <w:rPr>
          <w:bCs/>
          <w:sz w:val="24"/>
          <w:szCs w:val="24"/>
          <w:lang w:val="pt-BR"/>
        </w:rPr>
        <w:tab/>
      </w:r>
      <w:r w:rsidRPr="00BB7232">
        <w:rPr>
          <w:bCs/>
          <w:sz w:val="24"/>
          <w:szCs w:val="24"/>
          <w:lang w:val="pt-BR"/>
        </w:rPr>
        <w:tab/>
      </w:r>
      <w:r w:rsidRPr="00BB7232">
        <w:rPr>
          <w:bCs/>
          <w:sz w:val="24"/>
          <w:szCs w:val="24"/>
          <w:lang w:val="pt-BR"/>
        </w:rPr>
        <w:tab/>
      </w:r>
      <w:r w:rsidRPr="00BB7232">
        <w:rPr>
          <w:bCs/>
          <w:sz w:val="24"/>
          <w:szCs w:val="24"/>
          <w:lang w:val="pt-BR"/>
        </w:rPr>
        <w:tab/>
      </w:r>
      <w:r w:rsidRPr="00BB7232">
        <w:rPr>
          <w:bCs/>
          <w:sz w:val="24"/>
          <w:szCs w:val="24"/>
          <w:lang w:val="pt-BR"/>
        </w:rPr>
        <w:tab/>
      </w:r>
      <w:r>
        <w:rPr>
          <w:bCs/>
          <w:sz w:val="24"/>
          <w:szCs w:val="24"/>
        </w:rPr>
        <w:t>)</w:t>
      </w:r>
      <w:r>
        <w:rPr>
          <w:bCs/>
          <w:sz w:val="24"/>
          <w:szCs w:val="24"/>
        </w:rPr>
        <w:tab/>
      </w:r>
    </w:p>
    <w:p w14:paraId="6937A248" w14:textId="77777777" w:rsidR="00124613" w:rsidRDefault="00124613" w:rsidP="00C2516A">
      <w:pPr>
        <w:widowControl w:val="0"/>
        <w:spacing w:after="0" w:line="240" w:lineRule="auto"/>
        <w:ind w:left="1440" w:firstLine="720"/>
        <w:jc w:val="both"/>
        <w:rPr>
          <w:bCs/>
          <w:sz w:val="24"/>
          <w:szCs w:val="24"/>
        </w:rPr>
      </w:pPr>
      <w:r>
        <w:rPr>
          <w:bCs/>
          <w:sz w:val="24"/>
          <w:szCs w:val="24"/>
        </w:rPr>
        <w:t>Respondent</w:t>
      </w:r>
      <w:r>
        <w:rPr>
          <w:bCs/>
          <w:sz w:val="24"/>
          <w:szCs w:val="24"/>
        </w:rPr>
        <w:tab/>
      </w:r>
      <w:r>
        <w:rPr>
          <w:bCs/>
          <w:sz w:val="24"/>
          <w:szCs w:val="24"/>
        </w:rPr>
        <w:tab/>
      </w:r>
      <w:r>
        <w:rPr>
          <w:bCs/>
          <w:sz w:val="24"/>
          <w:szCs w:val="24"/>
        </w:rPr>
        <w:tab/>
        <w:t>)</w:t>
      </w:r>
    </w:p>
    <w:p w14:paraId="165990E1" w14:textId="77777777" w:rsidR="00124613" w:rsidRDefault="00124613" w:rsidP="00C2516A">
      <w:pPr>
        <w:widowControl w:val="0"/>
        <w:spacing w:after="0" w:line="240" w:lineRule="auto"/>
        <w:jc w:val="both"/>
        <w:rPr>
          <w:bCs/>
          <w:sz w:val="24"/>
          <w:szCs w:val="24"/>
        </w:rPr>
      </w:pPr>
      <w:proofErr w:type="gramStart"/>
      <w:r>
        <w:rPr>
          <w:bCs/>
          <w:sz w:val="24"/>
          <w:szCs w:val="24"/>
        </w:rPr>
        <w:t>_________________________________________</w:t>
      </w:r>
      <w:r>
        <w:rPr>
          <w:bCs/>
          <w:sz w:val="24"/>
          <w:szCs w:val="24"/>
        </w:rPr>
        <w:tab/>
      </w:r>
      <w:proofErr w:type="gramEnd"/>
      <w:r>
        <w:rPr>
          <w:bCs/>
          <w:sz w:val="24"/>
          <w:szCs w:val="24"/>
        </w:rPr>
        <w:t>)</w:t>
      </w:r>
    </w:p>
    <w:p w14:paraId="0517D0B9" w14:textId="77777777" w:rsidR="008C001E" w:rsidRDefault="008C001E" w:rsidP="00C2516A">
      <w:pPr>
        <w:spacing w:after="0" w:line="240" w:lineRule="auto"/>
        <w:jc w:val="both"/>
        <w:rPr>
          <w:sz w:val="24"/>
          <w:szCs w:val="24"/>
        </w:rPr>
      </w:pPr>
    </w:p>
    <w:p w14:paraId="3CA7DCAE" w14:textId="4C659311" w:rsidR="00124613" w:rsidRPr="00A72911" w:rsidRDefault="008C001E" w:rsidP="00B92ED3">
      <w:pPr>
        <w:spacing w:after="0" w:line="240" w:lineRule="auto"/>
        <w:jc w:val="center"/>
        <w:rPr>
          <w:b/>
          <w:sz w:val="24"/>
          <w:szCs w:val="24"/>
        </w:rPr>
      </w:pPr>
      <w:r w:rsidRPr="00A72911">
        <w:rPr>
          <w:b/>
          <w:sz w:val="24"/>
          <w:szCs w:val="24"/>
        </w:rPr>
        <w:t>DECISION AND ORDER</w:t>
      </w:r>
    </w:p>
    <w:p w14:paraId="0D317F6B" w14:textId="77777777" w:rsidR="008D1012" w:rsidRDefault="00F003A7" w:rsidP="008D1012">
      <w:pPr>
        <w:pStyle w:val="ListParagraph"/>
        <w:numPr>
          <w:ilvl w:val="0"/>
          <w:numId w:val="1"/>
        </w:numPr>
        <w:spacing w:after="0" w:line="240" w:lineRule="auto"/>
        <w:ind w:left="720"/>
        <w:jc w:val="both"/>
        <w:rPr>
          <w:b/>
          <w:sz w:val="24"/>
          <w:szCs w:val="24"/>
        </w:rPr>
      </w:pPr>
      <w:r>
        <w:rPr>
          <w:b/>
          <w:sz w:val="24"/>
          <w:szCs w:val="24"/>
        </w:rPr>
        <w:t>Statement of the Case</w:t>
      </w:r>
      <w:r w:rsidR="008C001E">
        <w:rPr>
          <w:b/>
          <w:sz w:val="24"/>
          <w:szCs w:val="24"/>
        </w:rPr>
        <w:t xml:space="preserve"> </w:t>
      </w:r>
    </w:p>
    <w:p w14:paraId="6031C994" w14:textId="77777777" w:rsidR="008D1012" w:rsidRDefault="008D1012" w:rsidP="2B88B4C4">
      <w:pPr>
        <w:pStyle w:val="ListParagraph"/>
        <w:spacing w:after="0" w:line="240" w:lineRule="auto"/>
        <w:jc w:val="both"/>
        <w:rPr>
          <w:sz w:val="24"/>
          <w:szCs w:val="24"/>
        </w:rPr>
      </w:pPr>
    </w:p>
    <w:p w14:paraId="6A070AEC" w14:textId="0546D7B0" w:rsidR="008F27C7" w:rsidRDefault="042CBE54" w:rsidP="2B88B4C4">
      <w:pPr>
        <w:spacing w:after="0" w:line="240" w:lineRule="auto"/>
        <w:ind w:firstLine="720"/>
        <w:jc w:val="both"/>
        <w:rPr>
          <w:sz w:val="24"/>
          <w:szCs w:val="24"/>
        </w:rPr>
      </w:pPr>
      <w:r w:rsidRPr="2B88B4C4">
        <w:rPr>
          <w:sz w:val="24"/>
          <w:szCs w:val="24"/>
        </w:rPr>
        <w:t xml:space="preserve">On June 6, 2025, the Office of the Attorney </w:t>
      </w:r>
      <w:r w:rsidR="006D2E8D" w:rsidRPr="2B88B4C4">
        <w:rPr>
          <w:sz w:val="24"/>
          <w:szCs w:val="24"/>
        </w:rPr>
        <w:t>General</w:t>
      </w:r>
      <w:r w:rsidRPr="2B88B4C4">
        <w:rPr>
          <w:sz w:val="24"/>
          <w:szCs w:val="24"/>
        </w:rPr>
        <w:t xml:space="preserve"> for the District of Columbia (OAG) filed an </w:t>
      </w:r>
      <w:r w:rsidR="00BB2415">
        <w:rPr>
          <w:sz w:val="24"/>
          <w:szCs w:val="24"/>
        </w:rPr>
        <w:t>a</w:t>
      </w:r>
      <w:r w:rsidR="00BB2415" w:rsidRPr="2B88B4C4">
        <w:rPr>
          <w:sz w:val="24"/>
          <w:szCs w:val="24"/>
        </w:rPr>
        <w:t xml:space="preserve">rbitration </w:t>
      </w:r>
      <w:r w:rsidR="00BB2415">
        <w:rPr>
          <w:sz w:val="24"/>
          <w:szCs w:val="24"/>
        </w:rPr>
        <w:t>r</w:t>
      </w:r>
      <w:r w:rsidR="00BB2415" w:rsidRPr="2B88B4C4">
        <w:rPr>
          <w:sz w:val="24"/>
          <w:szCs w:val="24"/>
        </w:rPr>
        <w:t xml:space="preserve">eview </w:t>
      </w:r>
      <w:r w:rsidR="00BB2415">
        <w:rPr>
          <w:sz w:val="24"/>
          <w:szCs w:val="24"/>
        </w:rPr>
        <w:t>r</w:t>
      </w:r>
      <w:r w:rsidR="00BB2415" w:rsidRPr="2B88B4C4">
        <w:rPr>
          <w:sz w:val="24"/>
          <w:szCs w:val="24"/>
        </w:rPr>
        <w:t xml:space="preserve">equest </w:t>
      </w:r>
      <w:r w:rsidRPr="2B88B4C4">
        <w:rPr>
          <w:sz w:val="24"/>
          <w:szCs w:val="24"/>
        </w:rPr>
        <w:t>(Request), seeking review of a fee award (Fee Awar</w:t>
      </w:r>
      <w:r w:rsidR="5A608D0D" w:rsidRPr="2B88B4C4">
        <w:rPr>
          <w:sz w:val="24"/>
          <w:szCs w:val="24"/>
        </w:rPr>
        <w:t xml:space="preserve">d) </w:t>
      </w:r>
      <w:r w:rsidR="00E22387">
        <w:rPr>
          <w:sz w:val="24"/>
          <w:szCs w:val="24"/>
        </w:rPr>
        <w:t xml:space="preserve">dated May 13, 2025, pursuant to </w:t>
      </w:r>
      <w:r w:rsidR="00EF01ED">
        <w:rPr>
          <w:sz w:val="24"/>
          <w:szCs w:val="24"/>
        </w:rPr>
        <w:t>Section 1-605.2(6) of the Comprehensive Merit Personnel Act (CMPA)</w:t>
      </w:r>
      <w:r w:rsidR="003E3710">
        <w:rPr>
          <w:sz w:val="24"/>
          <w:szCs w:val="24"/>
        </w:rPr>
        <w:t xml:space="preserve">. The Fee Award </w:t>
      </w:r>
      <w:r w:rsidR="006D2E8D">
        <w:rPr>
          <w:sz w:val="24"/>
          <w:szCs w:val="24"/>
        </w:rPr>
        <w:t xml:space="preserve">found that the American Federation of State, County and Municipal Employees, Local 2401 (AFSCME) </w:t>
      </w:r>
      <w:r w:rsidR="005D0FBF">
        <w:rPr>
          <w:sz w:val="24"/>
          <w:szCs w:val="24"/>
        </w:rPr>
        <w:t xml:space="preserve">sustained its burden to prove its entitlement to an award of attorney fees in the amount of </w:t>
      </w:r>
      <w:r w:rsidR="0003508D">
        <w:rPr>
          <w:sz w:val="24"/>
          <w:szCs w:val="24"/>
        </w:rPr>
        <w:t>$157,358.16.</w:t>
      </w:r>
      <w:r w:rsidR="0003508D">
        <w:rPr>
          <w:rStyle w:val="FootnoteReference"/>
          <w:sz w:val="24"/>
          <w:szCs w:val="24"/>
        </w:rPr>
        <w:footnoteReference w:id="2"/>
      </w:r>
      <w:r w:rsidR="00622EA3">
        <w:rPr>
          <w:sz w:val="24"/>
          <w:szCs w:val="24"/>
        </w:rPr>
        <w:t xml:space="preserve"> OAG requests that the Board vacate the Fee Award on the grounds that it is contrary to law and public policy and </w:t>
      </w:r>
      <w:r w:rsidR="00B32064">
        <w:rPr>
          <w:sz w:val="24"/>
          <w:szCs w:val="24"/>
        </w:rPr>
        <w:t>that the Arbitrator exceeded his jurisdiction by imposing an award of attorney fees on OAG.</w:t>
      </w:r>
      <w:r w:rsidR="00B32064">
        <w:rPr>
          <w:rStyle w:val="FootnoteReference"/>
          <w:sz w:val="24"/>
          <w:szCs w:val="24"/>
        </w:rPr>
        <w:footnoteReference w:id="3"/>
      </w:r>
      <w:r w:rsidR="00B36E5C">
        <w:rPr>
          <w:sz w:val="24"/>
          <w:szCs w:val="24"/>
        </w:rPr>
        <w:t xml:space="preserve"> AFSCME filed an opposition to OAG’s Request (Opposition). </w:t>
      </w:r>
    </w:p>
    <w:p w14:paraId="672A2227" w14:textId="77777777" w:rsidR="00B36E5C" w:rsidRDefault="00B36E5C" w:rsidP="2B88B4C4">
      <w:pPr>
        <w:spacing w:after="0" w:line="240" w:lineRule="auto"/>
        <w:ind w:firstLine="720"/>
        <w:jc w:val="both"/>
        <w:rPr>
          <w:sz w:val="24"/>
          <w:szCs w:val="24"/>
        </w:rPr>
      </w:pPr>
    </w:p>
    <w:p w14:paraId="30DFB57C" w14:textId="4AE398AB" w:rsidR="00B36E5C" w:rsidRDefault="00B36E5C" w:rsidP="2B88B4C4">
      <w:pPr>
        <w:spacing w:after="0" w:line="240" w:lineRule="auto"/>
        <w:ind w:firstLine="720"/>
        <w:jc w:val="both"/>
        <w:rPr>
          <w:sz w:val="24"/>
          <w:szCs w:val="24"/>
        </w:rPr>
      </w:pPr>
      <w:r>
        <w:rPr>
          <w:sz w:val="24"/>
          <w:szCs w:val="24"/>
        </w:rPr>
        <w:t>Upon consideration of the Arbitrator’s conclusions, applicable law, and the record presented by the parties, the Board finds that the Fee Award is not contrary to law or public policy</w:t>
      </w:r>
      <w:r w:rsidR="006B549E">
        <w:rPr>
          <w:sz w:val="24"/>
          <w:szCs w:val="24"/>
        </w:rPr>
        <w:t xml:space="preserve"> and that</w:t>
      </w:r>
      <w:r w:rsidR="00737207">
        <w:rPr>
          <w:sz w:val="24"/>
          <w:szCs w:val="24"/>
        </w:rPr>
        <w:t xml:space="preserve"> OAG’s </w:t>
      </w:r>
      <w:r w:rsidR="00BB7232">
        <w:rPr>
          <w:sz w:val="24"/>
          <w:szCs w:val="24"/>
        </w:rPr>
        <w:t>jurisdictional argument</w:t>
      </w:r>
      <w:r w:rsidR="00BE66AF">
        <w:rPr>
          <w:sz w:val="24"/>
          <w:szCs w:val="24"/>
        </w:rPr>
        <w:t xml:space="preserve"> is untimely</w:t>
      </w:r>
      <w:r w:rsidR="007A40D2">
        <w:rPr>
          <w:sz w:val="24"/>
          <w:szCs w:val="24"/>
        </w:rPr>
        <w:t xml:space="preserve"> and otherwise unpersuasive</w:t>
      </w:r>
      <w:r w:rsidR="006B549E">
        <w:rPr>
          <w:sz w:val="24"/>
          <w:szCs w:val="24"/>
        </w:rPr>
        <w:t>.</w:t>
      </w:r>
    </w:p>
    <w:p w14:paraId="74259F69" w14:textId="77777777" w:rsidR="00AA2A1D" w:rsidRDefault="00AA2A1D" w:rsidP="2B88B4C4">
      <w:pPr>
        <w:spacing w:after="0" w:line="240" w:lineRule="auto"/>
        <w:ind w:firstLine="720"/>
        <w:jc w:val="both"/>
        <w:rPr>
          <w:sz w:val="24"/>
          <w:szCs w:val="24"/>
        </w:rPr>
      </w:pPr>
    </w:p>
    <w:p w14:paraId="52A6FC56" w14:textId="77777777" w:rsidR="00AA2A1D" w:rsidRDefault="00AA2A1D" w:rsidP="2B88B4C4">
      <w:pPr>
        <w:spacing w:after="0" w:line="240" w:lineRule="auto"/>
        <w:ind w:firstLine="720"/>
        <w:jc w:val="both"/>
        <w:rPr>
          <w:sz w:val="24"/>
          <w:szCs w:val="24"/>
        </w:rPr>
      </w:pPr>
    </w:p>
    <w:p w14:paraId="762F6157" w14:textId="77777777" w:rsidR="00AA2A1D" w:rsidRDefault="00AA2A1D" w:rsidP="2B88B4C4">
      <w:pPr>
        <w:spacing w:after="0" w:line="240" w:lineRule="auto"/>
        <w:ind w:firstLine="720"/>
        <w:jc w:val="both"/>
        <w:rPr>
          <w:sz w:val="24"/>
          <w:szCs w:val="24"/>
        </w:rPr>
      </w:pPr>
    </w:p>
    <w:p w14:paraId="5E66DB6A" w14:textId="77777777" w:rsidR="00563381" w:rsidRDefault="00563381" w:rsidP="2B88B4C4">
      <w:pPr>
        <w:spacing w:after="0" w:line="240" w:lineRule="auto"/>
        <w:ind w:firstLine="720"/>
        <w:jc w:val="both"/>
        <w:rPr>
          <w:sz w:val="24"/>
          <w:szCs w:val="24"/>
        </w:rPr>
      </w:pPr>
    </w:p>
    <w:p w14:paraId="76CFB90C" w14:textId="77777777" w:rsidR="00AA2A1D" w:rsidRDefault="00AA2A1D" w:rsidP="2B88B4C4">
      <w:pPr>
        <w:spacing w:after="0" w:line="240" w:lineRule="auto"/>
        <w:ind w:firstLine="720"/>
        <w:jc w:val="both"/>
        <w:rPr>
          <w:sz w:val="24"/>
          <w:szCs w:val="24"/>
        </w:rPr>
      </w:pPr>
    </w:p>
    <w:p w14:paraId="2C30F32E" w14:textId="3EF1E02C" w:rsidR="00107085" w:rsidRDefault="00107085" w:rsidP="008D1012">
      <w:pPr>
        <w:pStyle w:val="ListParagraph"/>
        <w:numPr>
          <w:ilvl w:val="0"/>
          <w:numId w:val="1"/>
        </w:numPr>
        <w:spacing w:after="0" w:line="240" w:lineRule="auto"/>
        <w:ind w:left="720"/>
        <w:jc w:val="both"/>
        <w:rPr>
          <w:b/>
          <w:sz w:val="24"/>
          <w:szCs w:val="24"/>
        </w:rPr>
      </w:pPr>
      <w:r w:rsidRPr="008D1012">
        <w:rPr>
          <w:b/>
          <w:sz w:val="24"/>
          <w:szCs w:val="24"/>
        </w:rPr>
        <w:lastRenderedPageBreak/>
        <w:t xml:space="preserve">Arbitration Award </w:t>
      </w:r>
    </w:p>
    <w:p w14:paraId="371FD9C9" w14:textId="77777777" w:rsidR="00754903" w:rsidRPr="00754903" w:rsidRDefault="00754903" w:rsidP="00754903">
      <w:pPr>
        <w:pStyle w:val="ListParagraph"/>
        <w:rPr>
          <w:b/>
          <w:sz w:val="24"/>
          <w:szCs w:val="24"/>
        </w:rPr>
      </w:pPr>
    </w:p>
    <w:p w14:paraId="7E24B442" w14:textId="77777777" w:rsidR="008C001E" w:rsidRPr="00DA48BF" w:rsidRDefault="0015669C" w:rsidP="00C2516A">
      <w:pPr>
        <w:pStyle w:val="ListParagraph"/>
        <w:numPr>
          <w:ilvl w:val="1"/>
          <w:numId w:val="1"/>
        </w:numPr>
        <w:spacing w:after="0"/>
        <w:jc w:val="both"/>
        <w:rPr>
          <w:b/>
          <w:sz w:val="24"/>
          <w:szCs w:val="24"/>
        </w:rPr>
      </w:pPr>
      <w:r w:rsidRPr="00DA48BF">
        <w:rPr>
          <w:b/>
          <w:sz w:val="24"/>
          <w:szCs w:val="24"/>
        </w:rPr>
        <w:t>Background</w:t>
      </w:r>
    </w:p>
    <w:p w14:paraId="1DE9932A" w14:textId="77777777" w:rsidR="00A750A5" w:rsidRDefault="00A750A5" w:rsidP="00A750A5">
      <w:pPr>
        <w:spacing w:after="0" w:line="240" w:lineRule="auto"/>
        <w:ind w:firstLine="720"/>
        <w:jc w:val="both"/>
        <w:rPr>
          <w:sz w:val="24"/>
          <w:szCs w:val="24"/>
        </w:rPr>
      </w:pPr>
    </w:p>
    <w:p w14:paraId="7D02B631" w14:textId="78D5AD8D" w:rsidR="00B1553D" w:rsidRDefault="00B0668D" w:rsidP="008D1012">
      <w:pPr>
        <w:spacing w:after="0" w:line="240" w:lineRule="auto"/>
        <w:ind w:firstLine="720"/>
        <w:jc w:val="both"/>
        <w:rPr>
          <w:sz w:val="24"/>
          <w:szCs w:val="24"/>
        </w:rPr>
      </w:pPr>
      <w:r>
        <w:rPr>
          <w:sz w:val="24"/>
          <w:szCs w:val="24"/>
        </w:rPr>
        <w:t xml:space="preserve">The </w:t>
      </w:r>
      <w:r w:rsidR="00AA2A1D">
        <w:rPr>
          <w:sz w:val="24"/>
          <w:szCs w:val="24"/>
        </w:rPr>
        <w:t xml:space="preserve">Fee Award </w:t>
      </w:r>
      <w:r w:rsidR="00CF2E85">
        <w:rPr>
          <w:sz w:val="24"/>
          <w:szCs w:val="24"/>
        </w:rPr>
        <w:t xml:space="preserve">followed the Arbitrator’s December 8, 2023, award on the </w:t>
      </w:r>
      <w:r w:rsidR="00193685">
        <w:rPr>
          <w:sz w:val="24"/>
          <w:szCs w:val="24"/>
        </w:rPr>
        <w:t xml:space="preserve">merits of the dispute (Merits Award), which </w:t>
      </w:r>
      <w:r w:rsidR="00E06060">
        <w:rPr>
          <w:sz w:val="24"/>
          <w:szCs w:val="24"/>
        </w:rPr>
        <w:t>was also challenged by OAG</w:t>
      </w:r>
      <w:r w:rsidR="00193685">
        <w:rPr>
          <w:sz w:val="24"/>
          <w:szCs w:val="24"/>
        </w:rPr>
        <w:t>.</w:t>
      </w:r>
      <w:r w:rsidR="00193685">
        <w:rPr>
          <w:rStyle w:val="FootnoteReference"/>
          <w:sz w:val="24"/>
          <w:szCs w:val="24"/>
        </w:rPr>
        <w:footnoteReference w:id="4"/>
      </w:r>
      <w:r w:rsidR="00A2522C">
        <w:rPr>
          <w:sz w:val="24"/>
          <w:szCs w:val="24"/>
        </w:rPr>
        <w:t xml:space="preserve"> </w:t>
      </w:r>
      <w:r w:rsidR="002D00D5">
        <w:rPr>
          <w:sz w:val="24"/>
          <w:szCs w:val="24"/>
        </w:rPr>
        <w:t xml:space="preserve">The Merits Award </w:t>
      </w:r>
      <w:r w:rsidR="005B20C0">
        <w:rPr>
          <w:sz w:val="24"/>
          <w:szCs w:val="24"/>
        </w:rPr>
        <w:t>ordered OAG to reinstate a terminated Information Technology Specialist (Grievant) with backpay.</w:t>
      </w:r>
      <w:r w:rsidR="005B20C0">
        <w:rPr>
          <w:rStyle w:val="FootnoteReference"/>
          <w:sz w:val="24"/>
          <w:szCs w:val="24"/>
        </w:rPr>
        <w:footnoteReference w:id="5"/>
      </w:r>
      <w:r w:rsidR="00163936">
        <w:rPr>
          <w:sz w:val="24"/>
          <w:szCs w:val="24"/>
        </w:rPr>
        <w:t xml:space="preserve"> The Arbitrator explicitly retained jurisdiction for the purpose of </w:t>
      </w:r>
      <w:r w:rsidR="0093151D">
        <w:rPr>
          <w:sz w:val="24"/>
          <w:szCs w:val="24"/>
        </w:rPr>
        <w:t xml:space="preserve">receiving AFSCME’s </w:t>
      </w:r>
      <w:r w:rsidR="00761A79">
        <w:rPr>
          <w:sz w:val="24"/>
          <w:szCs w:val="24"/>
        </w:rPr>
        <w:t>motion for attorney fees pursuant to the Back Pay Act, 5 U.S.C. § 5596 (BPA).</w:t>
      </w:r>
      <w:r w:rsidR="00761A79">
        <w:rPr>
          <w:rStyle w:val="FootnoteReference"/>
          <w:sz w:val="24"/>
          <w:szCs w:val="24"/>
        </w:rPr>
        <w:footnoteReference w:id="6"/>
      </w:r>
      <w:r w:rsidR="002039D7">
        <w:rPr>
          <w:sz w:val="24"/>
          <w:szCs w:val="24"/>
        </w:rPr>
        <w:t xml:space="preserve"> </w:t>
      </w:r>
      <w:r w:rsidR="00724075" w:rsidRPr="00724075">
        <w:rPr>
          <w:sz w:val="24"/>
          <w:szCs w:val="24"/>
        </w:rPr>
        <w:t>OAG did not request to overturn the Arbitrator’s retention of jurisdiction regarding attorney fees when appealing the Merits Award.</w:t>
      </w:r>
      <w:r w:rsidR="00724075">
        <w:rPr>
          <w:rStyle w:val="FootnoteReference"/>
          <w:sz w:val="24"/>
          <w:szCs w:val="24"/>
        </w:rPr>
        <w:footnoteReference w:id="7"/>
      </w:r>
      <w:r w:rsidR="00724075" w:rsidRPr="00724075">
        <w:rPr>
          <w:sz w:val="24"/>
          <w:szCs w:val="24"/>
        </w:rPr>
        <w:t xml:space="preserve"> </w:t>
      </w:r>
      <w:r w:rsidR="002039D7">
        <w:rPr>
          <w:sz w:val="24"/>
          <w:szCs w:val="24"/>
        </w:rPr>
        <w:t xml:space="preserve">On March 21, 2024, the Board denied OAG’s </w:t>
      </w:r>
      <w:r w:rsidR="00B85379">
        <w:rPr>
          <w:sz w:val="24"/>
          <w:szCs w:val="24"/>
        </w:rPr>
        <w:t>challenge to the Merits Award.</w:t>
      </w:r>
      <w:r w:rsidR="00B85379">
        <w:rPr>
          <w:rStyle w:val="FootnoteReference"/>
          <w:sz w:val="24"/>
          <w:szCs w:val="24"/>
        </w:rPr>
        <w:footnoteReference w:id="8"/>
      </w:r>
      <w:r w:rsidR="004520D5">
        <w:rPr>
          <w:sz w:val="24"/>
          <w:szCs w:val="24"/>
        </w:rPr>
        <w:t xml:space="preserve"> OAG then appealed the Merits </w:t>
      </w:r>
      <w:r w:rsidR="004520D5" w:rsidRPr="00A369BA">
        <w:rPr>
          <w:sz w:val="24"/>
          <w:szCs w:val="24"/>
        </w:rPr>
        <w:t>Award to the District of Columbia Superior Court, but later voluntarily withdrew that appeal.</w:t>
      </w:r>
      <w:r w:rsidR="004520D5" w:rsidRPr="00A369BA">
        <w:rPr>
          <w:rStyle w:val="FootnoteReference"/>
          <w:sz w:val="24"/>
          <w:szCs w:val="24"/>
        </w:rPr>
        <w:footnoteReference w:id="9"/>
      </w:r>
      <w:r w:rsidR="00520B75" w:rsidRPr="00A369BA">
        <w:rPr>
          <w:sz w:val="24"/>
          <w:szCs w:val="24"/>
        </w:rPr>
        <w:t xml:space="preserve"> AFSCME filed a petition for attorney fees </w:t>
      </w:r>
      <w:r w:rsidR="00AB5C20" w:rsidRPr="00A369BA">
        <w:rPr>
          <w:sz w:val="24"/>
          <w:szCs w:val="24"/>
        </w:rPr>
        <w:t xml:space="preserve">(Petition) </w:t>
      </w:r>
      <w:r w:rsidR="00520B75" w:rsidRPr="00A369BA">
        <w:rPr>
          <w:sz w:val="24"/>
          <w:szCs w:val="24"/>
        </w:rPr>
        <w:t>on January 17, 2025.</w:t>
      </w:r>
      <w:r w:rsidR="00520B75" w:rsidRPr="00A369BA">
        <w:rPr>
          <w:rStyle w:val="FootnoteReference"/>
          <w:sz w:val="24"/>
          <w:szCs w:val="24"/>
        </w:rPr>
        <w:footnoteReference w:id="10"/>
      </w:r>
      <w:r w:rsidR="00520B75" w:rsidRPr="00A369BA">
        <w:rPr>
          <w:sz w:val="24"/>
          <w:szCs w:val="24"/>
        </w:rPr>
        <w:t xml:space="preserve"> OAG filed an opposition to AFSCME’s petition</w:t>
      </w:r>
      <w:r w:rsidR="000769EC" w:rsidRPr="00A369BA">
        <w:rPr>
          <w:sz w:val="24"/>
          <w:szCs w:val="24"/>
        </w:rPr>
        <w:t xml:space="preserve"> </w:t>
      </w:r>
      <w:r w:rsidR="00520B75" w:rsidRPr="00A369BA">
        <w:rPr>
          <w:sz w:val="24"/>
          <w:szCs w:val="24"/>
        </w:rPr>
        <w:t>on February 21, 2025.</w:t>
      </w:r>
      <w:r w:rsidR="00520B75" w:rsidRPr="00A369BA">
        <w:rPr>
          <w:rStyle w:val="FootnoteReference"/>
          <w:sz w:val="24"/>
          <w:szCs w:val="24"/>
        </w:rPr>
        <w:footnoteReference w:id="11"/>
      </w:r>
      <w:r w:rsidR="00520B75" w:rsidRPr="00A369BA">
        <w:rPr>
          <w:sz w:val="24"/>
          <w:szCs w:val="24"/>
        </w:rPr>
        <w:t xml:space="preserve"> On March 13, 2025, AFSCME filed a reply to OAG’s </w:t>
      </w:r>
      <w:r w:rsidR="00B06165">
        <w:rPr>
          <w:sz w:val="24"/>
          <w:szCs w:val="24"/>
        </w:rPr>
        <w:t>opposition to the Petition</w:t>
      </w:r>
      <w:r w:rsidR="00520B75" w:rsidRPr="00A369BA">
        <w:rPr>
          <w:sz w:val="24"/>
          <w:szCs w:val="24"/>
        </w:rPr>
        <w:t>.</w:t>
      </w:r>
      <w:r w:rsidR="00520B75" w:rsidRPr="00A369BA">
        <w:rPr>
          <w:rStyle w:val="FootnoteReference"/>
          <w:sz w:val="24"/>
          <w:szCs w:val="24"/>
        </w:rPr>
        <w:footnoteReference w:id="12"/>
      </w:r>
      <w:r w:rsidR="006A6CE9" w:rsidRPr="00A369BA">
        <w:rPr>
          <w:sz w:val="24"/>
          <w:szCs w:val="24"/>
        </w:rPr>
        <w:t xml:space="preserve"> On May 13, 2025, the Arbitrator issued the Fee Award, finding in AFSCME’s </w:t>
      </w:r>
      <w:r w:rsidR="0016378D" w:rsidRPr="00A369BA">
        <w:rPr>
          <w:sz w:val="24"/>
          <w:szCs w:val="24"/>
        </w:rPr>
        <w:t>favor.</w:t>
      </w:r>
      <w:r w:rsidR="0016378D" w:rsidRPr="00A369BA">
        <w:rPr>
          <w:rStyle w:val="FootnoteReference"/>
          <w:sz w:val="24"/>
          <w:szCs w:val="24"/>
        </w:rPr>
        <w:footnoteReference w:id="13"/>
      </w:r>
    </w:p>
    <w:p w14:paraId="3A200245" w14:textId="77777777" w:rsidR="008A5FEC" w:rsidRDefault="008A5FEC" w:rsidP="008D1012">
      <w:pPr>
        <w:spacing w:after="0" w:line="240" w:lineRule="auto"/>
        <w:ind w:firstLine="720"/>
        <w:jc w:val="both"/>
        <w:rPr>
          <w:sz w:val="24"/>
          <w:szCs w:val="24"/>
        </w:rPr>
      </w:pPr>
    </w:p>
    <w:p w14:paraId="2301DE5D" w14:textId="6190061D" w:rsidR="008A5FEC" w:rsidRDefault="008A5FEC" w:rsidP="008D1012">
      <w:pPr>
        <w:spacing w:after="0" w:line="240" w:lineRule="auto"/>
        <w:ind w:firstLine="720"/>
        <w:jc w:val="both"/>
        <w:rPr>
          <w:sz w:val="24"/>
          <w:szCs w:val="24"/>
        </w:rPr>
      </w:pPr>
      <w:r>
        <w:rPr>
          <w:sz w:val="24"/>
          <w:szCs w:val="24"/>
        </w:rPr>
        <w:t xml:space="preserve">The Arbitrator </w:t>
      </w:r>
      <w:r w:rsidR="000E3572">
        <w:rPr>
          <w:sz w:val="24"/>
          <w:szCs w:val="24"/>
        </w:rPr>
        <w:t xml:space="preserve">originally found that </w:t>
      </w:r>
      <w:r w:rsidR="0078216A">
        <w:rPr>
          <w:sz w:val="24"/>
          <w:szCs w:val="24"/>
        </w:rPr>
        <w:t>“OAG failed to sustain its burden to prove that Grievant’s actions constituted misconduct and/or neglect of duty.</w:t>
      </w:r>
      <w:r w:rsidR="00BB7232">
        <w:rPr>
          <w:sz w:val="24"/>
          <w:szCs w:val="24"/>
        </w:rPr>
        <w:t>”</w:t>
      </w:r>
      <w:r w:rsidR="00BB7232">
        <w:rPr>
          <w:rStyle w:val="FootnoteReference"/>
          <w:sz w:val="24"/>
          <w:szCs w:val="24"/>
        </w:rPr>
        <w:footnoteReference w:id="14"/>
      </w:r>
      <w:r w:rsidR="0078216A">
        <w:rPr>
          <w:sz w:val="24"/>
          <w:szCs w:val="24"/>
        </w:rPr>
        <w:t xml:space="preserve"> Therefore, </w:t>
      </w:r>
      <w:r w:rsidR="00BB7232">
        <w:rPr>
          <w:sz w:val="24"/>
          <w:szCs w:val="24"/>
        </w:rPr>
        <w:t>the Arbitrator</w:t>
      </w:r>
      <w:r w:rsidR="0078216A">
        <w:rPr>
          <w:sz w:val="24"/>
          <w:szCs w:val="24"/>
        </w:rPr>
        <w:t xml:space="preserve"> f</w:t>
      </w:r>
      <w:r w:rsidR="00BB7232">
        <w:rPr>
          <w:sz w:val="24"/>
          <w:szCs w:val="24"/>
        </w:rPr>
        <w:t>ou</w:t>
      </w:r>
      <w:r w:rsidR="0078216A">
        <w:rPr>
          <w:sz w:val="24"/>
          <w:szCs w:val="24"/>
        </w:rPr>
        <w:t xml:space="preserve">nd that </w:t>
      </w:r>
      <w:r w:rsidR="00BB7232">
        <w:rPr>
          <w:sz w:val="24"/>
          <w:szCs w:val="24"/>
        </w:rPr>
        <w:t>“</w:t>
      </w:r>
      <w:r w:rsidR="0078216A">
        <w:rPr>
          <w:sz w:val="24"/>
          <w:szCs w:val="24"/>
        </w:rPr>
        <w:t>OAG did not prove that the discipline of Grievant was for just cause.”</w:t>
      </w:r>
      <w:r w:rsidR="0078216A">
        <w:rPr>
          <w:rStyle w:val="FootnoteReference"/>
          <w:sz w:val="24"/>
          <w:szCs w:val="24"/>
        </w:rPr>
        <w:footnoteReference w:id="15"/>
      </w:r>
      <w:r w:rsidR="005129D5">
        <w:rPr>
          <w:sz w:val="24"/>
          <w:szCs w:val="24"/>
        </w:rPr>
        <w:t xml:space="preserve"> </w:t>
      </w:r>
      <w:r w:rsidR="00440B67">
        <w:rPr>
          <w:sz w:val="24"/>
          <w:szCs w:val="24"/>
        </w:rPr>
        <w:t>The Arbitrator ordered OAG to reinstate the Grievant, expunge her disciplinary record</w:t>
      </w:r>
      <w:r w:rsidR="000D5008">
        <w:rPr>
          <w:sz w:val="24"/>
          <w:szCs w:val="24"/>
        </w:rPr>
        <w:t xml:space="preserve"> and adjust it consistent with the Merits Award, pay </w:t>
      </w:r>
      <w:r w:rsidR="00C15B47">
        <w:rPr>
          <w:sz w:val="24"/>
          <w:szCs w:val="24"/>
        </w:rPr>
        <w:t>the Grievant back pay</w:t>
      </w:r>
      <w:r w:rsidR="00BB7232">
        <w:rPr>
          <w:sz w:val="24"/>
          <w:szCs w:val="24"/>
        </w:rPr>
        <w:t>,</w:t>
      </w:r>
      <w:r w:rsidR="00C15B47">
        <w:rPr>
          <w:sz w:val="24"/>
          <w:szCs w:val="24"/>
        </w:rPr>
        <w:t xml:space="preserve"> and otherwise make her whole.</w:t>
      </w:r>
      <w:r w:rsidR="00DA259A">
        <w:rPr>
          <w:rStyle w:val="FootnoteReference"/>
          <w:sz w:val="24"/>
          <w:szCs w:val="24"/>
        </w:rPr>
        <w:footnoteReference w:id="16"/>
      </w:r>
      <w:r w:rsidR="00DA259A">
        <w:rPr>
          <w:sz w:val="24"/>
          <w:szCs w:val="24"/>
        </w:rPr>
        <w:t xml:space="preserve"> </w:t>
      </w:r>
      <w:r w:rsidR="00BB7232">
        <w:rPr>
          <w:sz w:val="24"/>
          <w:szCs w:val="24"/>
        </w:rPr>
        <w:t>In the Merits Award, t</w:t>
      </w:r>
      <w:r w:rsidR="00DA259A">
        <w:rPr>
          <w:sz w:val="24"/>
          <w:szCs w:val="24"/>
        </w:rPr>
        <w:t xml:space="preserve">he Arbitrator explicitly reserved jurisdiction </w:t>
      </w:r>
      <w:r w:rsidR="001D679E">
        <w:rPr>
          <w:sz w:val="24"/>
          <w:szCs w:val="24"/>
        </w:rPr>
        <w:t>“for the purpose of receiving the Union’s motion for attorneys’ fee [sic] pursuant to the Back Pay Act</w:t>
      </w:r>
      <w:r w:rsidR="00BB7232">
        <w:rPr>
          <w:sz w:val="24"/>
          <w:szCs w:val="24"/>
        </w:rPr>
        <w:t>.</w:t>
      </w:r>
      <w:r w:rsidR="001D679E">
        <w:rPr>
          <w:sz w:val="24"/>
          <w:szCs w:val="24"/>
        </w:rPr>
        <w:t>”</w:t>
      </w:r>
      <w:r w:rsidR="001D679E">
        <w:rPr>
          <w:rStyle w:val="FootnoteReference"/>
          <w:sz w:val="24"/>
          <w:szCs w:val="24"/>
        </w:rPr>
        <w:footnoteReference w:id="17"/>
      </w:r>
      <w:r w:rsidR="00334FF3">
        <w:rPr>
          <w:sz w:val="24"/>
          <w:szCs w:val="24"/>
        </w:rPr>
        <w:t xml:space="preserve"> </w:t>
      </w:r>
      <w:r w:rsidR="0003274D">
        <w:rPr>
          <w:sz w:val="24"/>
          <w:szCs w:val="24"/>
        </w:rPr>
        <w:t xml:space="preserve">The Arbitrator noted that “none of the outcome which </w:t>
      </w:r>
      <w:r w:rsidR="009838A8">
        <w:rPr>
          <w:sz w:val="24"/>
          <w:szCs w:val="24"/>
        </w:rPr>
        <w:t>was sought by OAG in the case on the merits was ordered</w:t>
      </w:r>
      <w:r w:rsidR="00BB7232">
        <w:rPr>
          <w:sz w:val="24"/>
          <w:szCs w:val="24"/>
        </w:rPr>
        <w:t>,”</w:t>
      </w:r>
      <w:r w:rsidR="009838A8">
        <w:rPr>
          <w:sz w:val="24"/>
          <w:szCs w:val="24"/>
        </w:rPr>
        <w:t xml:space="preserve"> </w:t>
      </w:r>
      <w:r w:rsidR="00BB7232">
        <w:rPr>
          <w:sz w:val="24"/>
          <w:szCs w:val="24"/>
        </w:rPr>
        <w:t>Stating that “[t]</w:t>
      </w:r>
      <w:r w:rsidR="009838A8">
        <w:rPr>
          <w:sz w:val="24"/>
          <w:szCs w:val="24"/>
        </w:rPr>
        <w:t>he only reasonable conclusion that can be drawn from these facts is that the Union is the prevailing party in the case on the merits.”</w:t>
      </w:r>
      <w:r w:rsidR="009838A8">
        <w:rPr>
          <w:rStyle w:val="FootnoteReference"/>
          <w:sz w:val="24"/>
          <w:szCs w:val="24"/>
        </w:rPr>
        <w:footnoteReference w:id="18"/>
      </w:r>
    </w:p>
    <w:p w14:paraId="39BF2078" w14:textId="77777777" w:rsidR="000F5953" w:rsidRDefault="000F5953" w:rsidP="008D1012">
      <w:pPr>
        <w:spacing w:after="0" w:line="240" w:lineRule="auto"/>
        <w:ind w:firstLine="720"/>
        <w:jc w:val="both"/>
        <w:rPr>
          <w:sz w:val="24"/>
          <w:szCs w:val="24"/>
        </w:rPr>
      </w:pPr>
    </w:p>
    <w:p w14:paraId="5A6E1731" w14:textId="77777777" w:rsidR="000F5953" w:rsidRDefault="000F5953" w:rsidP="008D1012">
      <w:pPr>
        <w:spacing w:after="0" w:line="240" w:lineRule="auto"/>
        <w:ind w:firstLine="720"/>
        <w:jc w:val="both"/>
        <w:rPr>
          <w:sz w:val="24"/>
          <w:szCs w:val="24"/>
        </w:rPr>
      </w:pPr>
    </w:p>
    <w:p w14:paraId="65DDCB31" w14:textId="77777777" w:rsidR="000F5953" w:rsidRDefault="000F5953" w:rsidP="008D1012">
      <w:pPr>
        <w:spacing w:after="0" w:line="240" w:lineRule="auto"/>
        <w:ind w:firstLine="720"/>
        <w:jc w:val="both"/>
        <w:rPr>
          <w:sz w:val="24"/>
          <w:szCs w:val="24"/>
        </w:rPr>
      </w:pPr>
    </w:p>
    <w:p w14:paraId="16DE3087" w14:textId="38F3EC4B" w:rsidR="004462C6" w:rsidRDefault="00E70160" w:rsidP="00E70160">
      <w:pPr>
        <w:tabs>
          <w:tab w:val="left" w:pos="7012"/>
        </w:tabs>
        <w:spacing w:after="0" w:line="240" w:lineRule="auto"/>
        <w:jc w:val="both"/>
        <w:rPr>
          <w:sz w:val="24"/>
          <w:szCs w:val="24"/>
        </w:rPr>
      </w:pPr>
      <w:r>
        <w:rPr>
          <w:sz w:val="24"/>
          <w:szCs w:val="24"/>
        </w:rPr>
        <w:tab/>
      </w:r>
    </w:p>
    <w:p w14:paraId="585141D4" w14:textId="68C26C60" w:rsidR="0089613B" w:rsidRPr="008F1412" w:rsidRDefault="00107085" w:rsidP="008F1412">
      <w:pPr>
        <w:pStyle w:val="ListParagraph"/>
        <w:numPr>
          <w:ilvl w:val="1"/>
          <w:numId w:val="1"/>
        </w:numPr>
        <w:tabs>
          <w:tab w:val="left" w:pos="720"/>
        </w:tabs>
        <w:spacing w:after="0" w:line="240" w:lineRule="auto"/>
        <w:jc w:val="both"/>
        <w:rPr>
          <w:b/>
          <w:sz w:val="24"/>
          <w:szCs w:val="24"/>
        </w:rPr>
      </w:pPr>
      <w:r>
        <w:rPr>
          <w:b/>
          <w:sz w:val="24"/>
          <w:szCs w:val="24"/>
        </w:rPr>
        <w:lastRenderedPageBreak/>
        <w:t xml:space="preserve"> Arbitrator’s Findings </w:t>
      </w:r>
    </w:p>
    <w:p w14:paraId="70211563" w14:textId="77777777" w:rsidR="0089613B" w:rsidRDefault="0089613B" w:rsidP="00B751EB">
      <w:pPr>
        <w:spacing w:after="0" w:line="240" w:lineRule="auto"/>
        <w:ind w:firstLine="720"/>
        <w:jc w:val="both"/>
        <w:rPr>
          <w:sz w:val="24"/>
          <w:szCs w:val="24"/>
        </w:rPr>
      </w:pPr>
    </w:p>
    <w:p w14:paraId="03F2BBA7" w14:textId="6DABAC62" w:rsidR="0077739D" w:rsidRDefault="00336981" w:rsidP="00B751EB">
      <w:pPr>
        <w:spacing w:after="0" w:line="240" w:lineRule="auto"/>
        <w:ind w:firstLine="720"/>
        <w:jc w:val="both"/>
        <w:rPr>
          <w:sz w:val="24"/>
          <w:szCs w:val="24"/>
        </w:rPr>
      </w:pPr>
      <w:r>
        <w:rPr>
          <w:sz w:val="24"/>
          <w:szCs w:val="24"/>
        </w:rPr>
        <w:t xml:space="preserve">The </w:t>
      </w:r>
      <w:r w:rsidR="0009145D">
        <w:rPr>
          <w:sz w:val="24"/>
          <w:szCs w:val="24"/>
        </w:rPr>
        <w:t>Arbitrator considered the following issues</w:t>
      </w:r>
      <w:r>
        <w:rPr>
          <w:sz w:val="24"/>
          <w:szCs w:val="24"/>
        </w:rPr>
        <w:t>:</w:t>
      </w:r>
      <w:r w:rsidR="00B751EB">
        <w:rPr>
          <w:sz w:val="24"/>
          <w:szCs w:val="24"/>
        </w:rPr>
        <w:t xml:space="preserve"> </w:t>
      </w:r>
    </w:p>
    <w:p w14:paraId="62BC30FC" w14:textId="68B01A7F" w:rsidR="0077739D" w:rsidRDefault="0077739D" w:rsidP="00B751EB">
      <w:pPr>
        <w:spacing w:after="0" w:line="240" w:lineRule="auto"/>
        <w:ind w:firstLine="720"/>
        <w:jc w:val="both"/>
        <w:rPr>
          <w:sz w:val="24"/>
          <w:szCs w:val="24"/>
        </w:rPr>
      </w:pPr>
    </w:p>
    <w:p w14:paraId="37697226" w14:textId="408B529A" w:rsidR="00B62A2A" w:rsidRDefault="00C113B2" w:rsidP="004C6309">
      <w:pPr>
        <w:pStyle w:val="ListParagraph"/>
        <w:numPr>
          <w:ilvl w:val="2"/>
          <w:numId w:val="1"/>
        </w:numPr>
        <w:spacing w:after="0" w:line="240" w:lineRule="auto"/>
        <w:ind w:left="2880"/>
        <w:jc w:val="both"/>
        <w:rPr>
          <w:rFonts w:eastAsiaTheme="minorHAnsi"/>
          <w:sz w:val="24"/>
          <w:szCs w:val="24"/>
        </w:rPr>
      </w:pPr>
      <w:r>
        <w:rPr>
          <w:rFonts w:eastAsiaTheme="minorHAnsi"/>
          <w:sz w:val="24"/>
          <w:szCs w:val="24"/>
        </w:rPr>
        <w:t>Is the Union entitled to an award of the attorneys’ fees that it incurred in its representation of Grievant?</w:t>
      </w:r>
    </w:p>
    <w:p w14:paraId="27225EE0" w14:textId="77777777" w:rsidR="008D1012" w:rsidRPr="008D1012" w:rsidRDefault="008D1012" w:rsidP="008D1012">
      <w:pPr>
        <w:pStyle w:val="ListParagraph"/>
        <w:spacing w:after="0" w:line="240" w:lineRule="auto"/>
        <w:ind w:left="2880"/>
        <w:jc w:val="both"/>
        <w:rPr>
          <w:rFonts w:eastAsiaTheme="minorHAnsi"/>
          <w:sz w:val="24"/>
          <w:szCs w:val="24"/>
        </w:rPr>
      </w:pPr>
    </w:p>
    <w:p w14:paraId="72609982" w14:textId="6EB0CBC6" w:rsidR="0077739D" w:rsidRPr="00836A9A" w:rsidRDefault="00C113B2" w:rsidP="00836A9A">
      <w:pPr>
        <w:pStyle w:val="ListParagraph"/>
        <w:numPr>
          <w:ilvl w:val="2"/>
          <w:numId w:val="1"/>
        </w:numPr>
        <w:spacing w:after="0" w:line="240" w:lineRule="auto"/>
        <w:ind w:left="2880"/>
        <w:jc w:val="both"/>
        <w:rPr>
          <w:rFonts w:eastAsiaTheme="minorHAnsi"/>
          <w:sz w:val="24"/>
          <w:szCs w:val="24"/>
        </w:rPr>
      </w:pPr>
      <w:r>
        <w:rPr>
          <w:rFonts w:eastAsiaTheme="minorHAnsi"/>
          <w:sz w:val="24"/>
          <w:szCs w:val="24"/>
        </w:rPr>
        <w:t xml:space="preserve">If so, what </w:t>
      </w:r>
      <w:proofErr w:type="gramStart"/>
      <w:r>
        <w:rPr>
          <w:rFonts w:eastAsiaTheme="minorHAnsi"/>
          <w:sz w:val="24"/>
          <w:szCs w:val="24"/>
        </w:rPr>
        <w:t>amount</w:t>
      </w:r>
      <w:proofErr w:type="gramEnd"/>
      <w:r>
        <w:rPr>
          <w:rFonts w:eastAsiaTheme="minorHAnsi"/>
          <w:sz w:val="24"/>
          <w:szCs w:val="24"/>
        </w:rPr>
        <w:t xml:space="preserve"> of attorneys’ fees is it appropriate to award?</w:t>
      </w:r>
      <w:r>
        <w:rPr>
          <w:rStyle w:val="FootnoteReference"/>
          <w:rFonts w:eastAsiaTheme="minorHAnsi"/>
          <w:sz w:val="24"/>
          <w:szCs w:val="24"/>
        </w:rPr>
        <w:footnoteReference w:id="19"/>
      </w:r>
    </w:p>
    <w:p w14:paraId="387EF652" w14:textId="77777777" w:rsidR="002E2ECF" w:rsidRDefault="002E2ECF" w:rsidP="004001B0">
      <w:pPr>
        <w:spacing w:after="0" w:line="240" w:lineRule="auto"/>
        <w:jc w:val="both"/>
        <w:rPr>
          <w:sz w:val="24"/>
          <w:szCs w:val="24"/>
        </w:rPr>
      </w:pPr>
    </w:p>
    <w:p w14:paraId="5E9BA369" w14:textId="12683A94" w:rsidR="008D1012" w:rsidRDefault="00B84A11" w:rsidP="00CA057C">
      <w:pPr>
        <w:spacing w:after="0" w:line="240" w:lineRule="auto"/>
        <w:jc w:val="both"/>
        <w:rPr>
          <w:sz w:val="24"/>
          <w:szCs w:val="24"/>
        </w:rPr>
      </w:pPr>
      <w:r>
        <w:rPr>
          <w:sz w:val="24"/>
          <w:szCs w:val="24"/>
        </w:rPr>
        <w:t>T</w:t>
      </w:r>
      <w:r w:rsidR="00357576">
        <w:rPr>
          <w:sz w:val="24"/>
          <w:szCs w:val="24"/>
        </w:rPr>
        <w:t xml:space="preserve">he </w:t>
      </w:r>
      <w:r w:rsidR="00401275">
        <w:rPr>
          <w:sz w:val="24"/>
          <w:szCs w:val="24"/>
        </w:rPr>
        <w:t>Arbitrator first reviewed the reasonableness of</w:t>
      </w:r>
      <w:r w:rsidR="00A82EA3">
        <w:rPr>
          <w:sz w:val="24"/>
          <w:szCs w:val="24"/>
        </w:rPr>
        <w:t xml:space="preserve"> the </w:t>
      </w:r>
      <w:r w:rsidR="00BB7232">
        <w:rPr>
          <w:sz w:val="24"/>
          <w:szCs w:val="24"/>
        </w:rPr>
        <w:t>$</w:t>
      </w:r>
      <w:r w:rsidR="003D5752">
        <w:rPr>
          <w:sz w:val="24"/>
          <w:szCs w:val="24"/>
        </w:rPr>
        <w:t>157,358.16</w:t>
      </w:r>
      <w:r w:rsidR="00A82EA3">
        <w:rPr>
          <w:sz w:val="24"/>
          <w:szCs w:val="24"/>
        </w:rPr>
        <w:t xml:space="preserve"> </w:t>
      </w:r>
      <w:r w:rsidR="00BB7232">
        <w:rPr>
          <w:sz w:val="24"/>
          <w:szCs w:val="24"/>
        </w:rPr>
        <w:t>in</w:t>
      </w:r>
      <w:r w:rsidR="00A82EA3">
        <w:rPr>
          <w:sz w:val="24"/>
          <w:szCs w:val="24"/>
        </w:rPr>
        <w:t xml:space="preserve"> attorney fees’ sought by AFSCME, noting that “[t]he record makes clear that this matter generated a significant amount of work for everyone involved, especially counsel for both Parties.”</w:t>
      </w:r>
      <w:r w:rsidR="00A82EA3">
        <w:rPr>
          <w:rStyle w:val="FootnoteReference"/>
          <w:sz w:val="24"/>
          <w:szCs w:val="24"/>
        </w:rPr>
        <w:footnoteReference w:id="20"/>
      </w:r>
      <w:r w:rsidR="00ED4725">
        <w:rPr>
          <w:sz w:val="24"/>
          <w:szCs w:val="24"/>
        </w:rPr>
        <w:t xml:space="preserve"> The Arbitrator found that AFSCME provided comprehensive documentation of its hours worked in the form of a time log for the work performed by its attorneys</w:t>
      </w:r>
      <w:r w:rsidR="00DC1B49">
        <w:rPr>
          <w:sz w:val="24"/>
          <w:szCs w:val="24"/>
        </w:rPr>
        <w:t>, showing the date of the work performed, which attorney performed the work, a description of the work performed, the hours worked, and the hours billed.</w:t>
      </w:r>
      <w:r w:rsidR="00DC1B49">
        <w:rPr>
          <w:rStyle w:val="FootnoteReference"/>
          <w:sz w:val="24"/>
          <w:szCs w:val="24"/>
        </w:rPr>
        <w:footnoteReference w:id="21"/>
      </w:r>
      <w:r w:rsidR="00DC1B49">
        <w:rPr>
          <w:sz w:val="24"/>
          <w:szCs w:val="24"/>
        </w:rPr>
        <w:t xml:space="preserve"> </w:t>
      </w:r>
      <w:r w:rsidR="00BB4175">
        <w:rPr>
          <w:sz w:val="24"/>
          <w:szCs w:val="24"/>
        </w:rPr>
        <w:t>The Arbitrator further found the record showed that AFSCME’s attorneys’ work performed was necessary for the advancement of AFSCME’s case.</w:t>
      </w:r>
      <w:r w:rsidR="00BB4175">
        <w:rPr>
          <w:rStyle w:val="FootnoteReference"/>
          <w:sz w:val="24"/>
          <w:szCs w:val="24"/>
        </w:rPr>
        <w:footnoteReference w:id="22"/>
      </w:r>
      <w:r w:rsidR="00BB4175">
        <w:rPr>
          <w:sz w:val="24"/>
          <w:szCs w:val="24"/>
        </w:rPr>
        <w:t xml:space="preserve"> </w:t>
      </w:r>
      <w:r w:rsidR="00DC1B49">
        <w:rPr>
          <w:sz w:val="24"/>
          <w:szCs w:val="24"/>
        </w:rPr>
        <w:t xml:space="preserve">The </w:t>
      </w:r>
      <w:r w:rsidR="00B7718A">
        <w:rPr>
          <w:sz w:val="24"/>
          <w:szCs w:val="24"/>
        </w:rPr>
        <w:t>work performed spanned the time period of May 2022 through January 2025, approximately two (2) years and eight (8) months.</w:t>
      </w:r>
      <w:r w:rsidR="00B7718A">
        <w:rPr>
          <w:rStyle w:val="FootnoteReference"/>
          <w:sz w:val="24"/>
          <w:szCs w:val="24"/>
        </w:rPr>
        <w:footnoteReference w:id="23"/>
      </w:r>
      <w:r w:rsidR="007A211C">
        <w:rPr>
          <w:sz w:val="24"/>
          <w:szCs w:val="24"/>
        </w:rPr>
        <w:t xml:space="preserve"> AFSCME’s attorneys </w:t>
      </w:r>
      <w:r w:rsidR="004E1834">
        <w:rPr>
          <w:sz w:val="24"/>
          <w:szCs w:val="24"/>
        </w:rPr>
        <w:t>logged 598.9 hours and billed for only 304 hours.</w:t>
      </w:r>
      <w:r w:rsidR="004E1834">
        <w:rPr>
          <w:rStyle w:val="FootnoteReference"/>
          <w:sz w:val="24"/>
          <w:szCs w:val="24"/>
        </w:rPr>
        <w:footnoteReference w:id="24"/>
      </w:r>
    </w:p>
    <w:p w14:paraId="05402B08" w14:textId="77777777" w:rsidR="003D70C9" w:rsidRDefault="003D70C9" w:rsidP="00CA057C">
      <w:pPr>
        <w:spacing w:after="0" w:line="240" w:lineRule="auto"/>
        <w:jc w:val="both"/>
        <w:rPr>
          <w:sz w:val="24"/>
          <w:szCs w:val="24"/>
        </w:rPr>
      </w:pPr>
    </w:p>
    <w:p w14:paraId="132AB540" w14:textId="4196E521" w:rsidR="003D70C9" w:rsidRDefault="003D70C9" w:rsidP="00CA057C">
      <w:pPr>
        <w:spacing w:after="0" w:line="240" w:lineRule="auto"/>
        <w:jc w:val="both"/>
        <w:rPr>
          <w:sz w:val="24"/>
          <w:szCs w:val="24"/>
        </w:rPr>
      </w:pPr>
      <w:r>
        <w:rPr>
          <w:sz w:val="24"/>
          <w:szCs w:val="24"/>
        </w:rPr>
        <w:tab/>
        <w:t xml:space="preserve">The Arbitrator rejected OAG’s argument against the </w:t>
      </w:r>
      <w:r w:rsidR="00542A0E">
        <w:rPr>
          <w:sz w:val="24"/>
          <w:szCs w:val="24"/>
        </w:rPr>
        <w:t>“</w:t>
      </w:r>
      <w:r>
        <w:rPr>
          <w:sz w:val="24"/>
          <w:szCs w:val="24"/>
        </w:rPr>
        <w:t xml:space="preserve">reliability and/or validity of </w:t>
      </w:r>
      <w:r w:rsidR="00542A0E">
        <w:rPr>
          <w:sz w:val="24"/>
          <w:szCs w:val="24"/>
        </w:rPr>
        <w:t xml:space="preserve">so-called ‘block billing,’” noting that </w:t>
      </w:r>
      <w:r w:rsidR="00E72A77">
        <w:rPr>
          <w:sz w:val="24"/>
          <w:szCs w:val="24"/>
        </w:rPr>
        <w:t>such aggregation of related tasks is a well-settled, reasonable practice.</w:t>
      </w:r>
      <w:r w:rsidR="00B660BE">
        <w:rPr>
          <w:rStyle w:val="FootnoteReference"/>
          <w:sz w:val="24"/>
          <w:szCs w:val="24"/>
        </w:rPr>
        <w:footnoteReference w:id="25"/>
      </w:r>
      <w:r w:rsidR="00852B49">
        <w:rPr>
          <w:sz w:val="24"/>
          <w:szCs w:val="24"/>
        </w:rPr>
        <w:t xml:space="preserve"> The Arbitrator also rejected OAG’s argument that AFSCME’s documentation of hours worked </w:t>
      </w:r>
      <w:r w:rsidR="00033C34">
        <w:rPr>
          <w:sz w:val="24"/>
          <w:szCs w:val="24"/>
        </w:rPr>
        <w:t xml:space="preserve">was “some form of vague estimation of the work and/or time expended, possibly even recorded long after the performance of the work,” determining that the record reflected AFSCME’s </w:t>
      </w:r>
      <w:r w:rsidR="00170912">
        <w:rPr>
          <w:sz w:val="24"/>
          <w:szCs w:val="24"/>
        </w:rPr>
        <w:t>record of work performed was drawn from contemporaneous billing records</w:t>
      </w:r>
      <w:r w:rsidR="00610FB9">
        <w:rPr>
          <w:sz w:val="24"/>
          <w:szCs w:val="24"/>
        </w:rPr>
        <w:t xml:space="preserve"> and that the record of work performed was clear, precise, detailed, and definitive.</w:t>
      </w:r>
      <w:r w:rsidR="00610FB9">
        <w:rPr>
          <w:rStyle w:val="FootnoteReference"/>
          <w:sz w:val="24"/>
          <w:szCs w:val="24"/>
        </w:rPr>
        <w:footnoteReference w:id="26"/>
      </w:r>
      <w:r w:rsidR="00B855E0">
        <w:rPr>
          <w:sz w:val="24"/>
          <w:szCs w:val="24"/>
        </w:rPr>
        <w:t xml:space="preserve"> The Arbitrator further rejected OAG’s argument that time expended by AFSCME’s attorneys in connection with an unsuccessful  motion to quash a subpoena in the Superior Court </w:t>
      </w:r>
      <w:r w:rsidR="008F0DEB">
        <w:rPr>
          <w:sz w:val="24"/>
          <w:szCs w:val="24"/>
        </w:rPr>
        <w:t>should not be reimbursed.</w:t>
      </w:r>
      <w:r w:rsidR="008F0DEB">
        <w:rPr>
          <w:rStyle w:val="FootnoteReference"/>
          <w:sz w:val="24"/>
          <w:szCs w:val="24"/>
        </w:rPr>
        <w:footnoteReference w:id="27"/>
      </w:r>
    </w:p>
    <w:p w14:paraId="35F8DD58" w14:textId="77777777" w:rsidR="00BD53EB" w:rsidRDefault="00BD53EB" w:rsidP="00CA057C">
      <w:pPr>
        <w:spacing w:after="0" w:line="240" w:lineRule="auto"/>
        <w:jc w:val="both"/>
        <w:rPr>
          <w:sz w:val="24"/>
          <w:szCs w:val="24"/>
        </w:rPr>
      </w:pPr>
    </w:p>
    <w:p w14:paraId="4E99EB7A" w14:textId="42E32A09" w:rsidR="00BD53EB" w:rsidRDefault="00BD53EB" w:rsidP="00CA057C">
      <w:pPr>
        <w:spacing w:after="0" w:line="240" w:lineRule="auto"/>
        <w:jc w:val="both"/>
        <w:rPr>
          <w:sz w:val="24"/>
          <w:szCs w:val="24"/>
        </w:rPr>
      </w:pPr>
      <w:r>
        <w:rPr>
          <w:sz w:val="24"/>
          <w:szCs w:val="24"/>
        </w:rPr>
        <w:tab/>
        <w:t>The Arbitrator reviewed AFSCME’s use</w:t>
      </w:r>
      <w:r w:rsidR="006B3AAE">
        <w:rPr>
          <w:sz w:val="24"/>
          <w:szCs w:val="24"/>
        </w:rPr>
        <w:t xml:space="preserve"> of the “Fitzpatrick Matrix”</w:t>
      </w:r>
      <w:r w:rsidR="00D16E97">
        <w:rPr>
          <w:rStyle w:val="FootnoteReference"/>
          <w:sz w:val="24"/>
          <w:szCs w:val="24"/>
        </w:rPr>
        <w:footnoteReference w:id="28"/>
      </w:r>
      <w:r w:rsidR="006B3AAE">
        <w:rPr>
          <w:sz w:val="24"/>
          <w:szCs w:val="24"/>
        </w:rPr>
        <w:t xml:space="preserve"> to calculate the amount of attorney fees, rejecting OAG’s </w:t>
      </w:r>
      <w:r w:rsidR="00D11B91">
        <w:rPr>
          <w:sz w:val="24"/>
          <w:szCs w:val="24"/>
        </w:rPr>
        <w:t xml:space="preserve">assertion that AFSCME had failed to show that the </w:t>
      </w:r>
      <w:r w:rsidR="00D11B91">
        <w:rPr>
          <w:sz w:val="24"/>
          <w:szCs w:val="24"/>
        </w:rPr>
        <w:lastRenderedPageBreak/>
        <w:t xml:space="preserve">grievance arbitration </w:t>
      </w:r>
      <w:r w:rsidR="00D16E97">
        <w:rPr>
          <w:sz w:val="24"/>
          <w:szCs w:val="24"/>
        </w:rPr>
        <w:t>was sufficiently complex to warrant use of the Fitzpatrick Matrix.</w:t>
      </w:r>
      <w:r w:rsidR="00D16E97">
        <w:rPr>
          <w:rStyle w:val="FootnoteReference"/>
          <w:sz w:val="24"/>
          <w:szCs w:val="24"/>
        </w:rPr>
        <w:footnoteReference w:id="29"/>
      </w:r>
      <w:r w:rsidR="005E48E3">
        <w:rPr>
          <w:sz w:val="24"/>
          <w:szCs w:val="24"/>
        </w:rPr>
        <w:t xml:space="preserve"> The Arbitrator both </w:t>
      </w:r>
      <w:r w:rsidR="008251E2">
        <w:rPr>
          <w:sz w:val="24"/>
          <w:szCs w:val="24"/>
        </w:rPr>
        <w:t xml:space="preserve">rejected OAG’s argument that </w:t>
      </w:r>
      <w:r w:rsidR="00E9117E">
        <w:rPr>
          <w:sz w:val="24"/>
          <w:szCs w:val="24"/>
        </w:rPr>
        <w:t xml:space="preserve">use of </w:t>
      </w:r>
      <w:r w:rsidR="008251E2">
        <w:rPr>
          <w:sz w:val="24"/>
          <w:szCs w:val="24"/>
        </w:rPr>
        <w:t xml:space="preserve">the Fitzpatrick Matrix required a </w:t>
      </w:r>
      <w:r w:rsidR="00E9117E">
        <w:rPr>
          <w:sz w:val="24"/>
          <w:szCs w:val="24"/>
        </w:rPr>
        <w:t xml:space="preserve">threshold level of complexity and found that, if there was such a threshold, the </w:t>
      </w:r>
      <w:r w:rsidR="008B15BB">
        <w:rPr>
          <w:sz w:val="24"/>
          <w:szCs w:val="24"/>
        </w:rPr>
        <w:t>instant case clearly met that threshold.</w:t>
      </w:r>
      <w:r w:rsidR="008B15BB">
        <w:rPr>
          <w:rStyle w:val="FootnoteReference"/>
          <w:sz w:val="24"/>
          <w:szCs w:val="24"/>
        </w:rPr>
        <w:footnoteReference w:id="30"/>
      </w:r>
      <w:r w:rsidR="007F35B1">
        <w:rPr>
          <w:sz w:val="24"/>
          <w:szCs w:val="24"/>
        </w:rPr>
        <w:t xml:space="preserve"> The Arbitrator further rejected OAG’s assertion that AFSCME </w:t>
      </w:r>
      <w:r w:rsidR="008A17B8">
        <w:rPr>
          <w:sz w:val="24"/>
          <w:szCs w:val="24"/>
        </w:rPr>
        <w:t xml:space="preserve">must demonstrate its attorneys’ usual billing rates, as survey-based market rate matrices such as the Fitzpatrick Matrix </w:t>
      </w:r>
      <w:r w:rsidR="0075016E">
        <w:rPr>
          <w:sz w:val="24"/>
          <w:szCs w:val="24"/>
        </w:rPr>
        <w:t xml:space="preserve">are used to establish </w:t>
      </w:r>
      <w:r w:rsidR="0000798B">
        <w:rPr>
          <w:sz w:val="24"/>
          <w:szCs w:val="24"/>
        </w:rPr>
        <w:t xml:space="preserve">more fair and consistent assessments of </w:t>
      </w:r>
      <w:r w:rsidR="00131EDF">
        <w:rPr>
          <w:sz w:val="24"/>
          <w:szCs w:val="24"/>
        </w:rPr>
        <w:t>attorney fees.</w:t>
      </w:r>
      <w:r w:rsidR="00131EDF">
        <w:rPr>
          <w:rStyle w:val="FootnoteReference"/>
          <w:sz w:val="24"/>
          <w:szCs w:val="24"/>
        </w:rPr>
        <w:footnoteReference w:id="31"/>
      </w:r>
    </w:p>
    <w:p w14:paraId="1B56E078" w14:textId="77777777" w:rsidR="000E6C9A" w:rsidRDefault="000E6C9A" w:rsidP="00CA057C">
      <w:pPr>
        <w:spacing w:after="0" w:line="240" w:lineRule="auto"/>
        <w:jc w:val="both"/>
        <w:rPr>
          <w:sz w:val="24"/>
          <w:szCs w:val="24"/>
        </w:rPr>
      </w:pPr>
    </w:p>
    <w:p w14:paraId="3D775AB4" w14:textId="06FDF673" w:rsidR="000E6C9A" w:rsidRPr="008028AE" w:rsidRDefault="000E6C9A" w:rsidP="00CA057C">
      <w:pPr>
        <w:spacing w:after="0" w:line="240" w:lineRule="auto"/>
        <w:jc w:val="both"/>
        <w:rPr>
          <w:sz w:val="24"/>
          <w:szCs w:val="24"/>
        </w:rPr>
      </w:pPr>
      <w:r>
        <w:rPr>
          <w:sz w:val="24"/>
          <w:szCs w:val="24"/>
        </w:rPr>
        <w:tab/>
      </w:r>
      <w:r w:rsidR="0071579B">
        <w:rPr>
          <w:sz w:val="24"/>
          <w:szCs w:val="24"/>
        </w:rPr>
        <w:t xml:space="preserve">The Arbitrator then </w:t>
      </w:r>
      <w:r w:rsidR="005F5C7B">
        <w:rPr>
          <w:sz w:val="24"/>
          <w:szCs w:val="24"/>
        </w:rPr>
        <w:t>assessed AFSCME’s attorney fees request under the interest of justice criteria established in</w:t>
      </w:r>
      <w:r w:rsidR="00440EFA">
        <w:rPr>
          <w:sz w:val="24"/>
          <w:szCs w:val="24"/>
        </w:rPr>
        <w:t xml:space="preserve"> </w:t>
      </w:r>
      <w:r w:rsidR="00440EFA">
        <w:rPr>
          <w:i/>
          <w:iCs/>
          <w:sz w:val="24"/>
          <w:szCs w:val="24"/>
        </w:rPr>
        <w:t>Allen</w:t>
      </w:r>
      <w:r w:rsidR="006632B4">
        <w:rPr>
          <w:sz w:val="24"/>
          <w:szCs w:val="24"/>
        </w:rPr>
        <w:t>.</w:t>
      </w:r>
      <w:r w:rsidR="006632B4">
        <w:rPr>
          <w:rStyle w:val="FootnoteReference"/>
          <w:sz w:val="24"/>
          <w:szCs w:val="24"/>
        </w:rPr>
        <w:footnoteReference w:id="32"/>
      </w:r>
      <w:r w:rsidR="006632B4">
        <w:rPr>
          <w:sz w:val="24"/>
          <w:szCs w:val="24"/>
        </w:rPr>
        <w:t xml:space="preserve"> </w:t>
      </w:r>
      <w:r w:rsidR="0002118E">
        <w:rPr>
          <w:sz w:val="24"/>
          <w:szCs w:val="24"/>
        </w:rPr>
        <w:t>The Arbitrator reviewed his findings in the Merits Award, noting h</w:t>
      </w:r>
      <w:r w:rsidR="00DA7AB9">
        <w:rPr>
          <w:sz w:val="24"/>
          <w:szCs w:val="24"/>
        </w:rPr>
        <w:t xml:space="preserve">e had found that OAG terminated the Grievant despite a Hearing Officer’s </w:t>
      </w:r>
      <w:r w:rsidR="005F5C7B">
        <w:rPr>
          <w:sz w:val="24"/>
          <w:szCs w:val="24"/>
        </w:rPr>
        <w:t>determinations</w:t>
      </w:r>
      <w:r w:rsidR="00DA7AB9">
        <w:rPr>
          <w:sz w:val="24"/>
          <w:szCs w:val="24"/>
        </w:rPr>
        <w:t xml:space="preserve"> that the Grievant “did not engage in prohibited conduct in violation of Misconduct</w:t>
      </w:r>
      <w:r w:rsidR="00E92AF9">
        <w:rPr>
          <w:sz w:val="24"/>
          <w:szCs w:val="24"/>
        </w:rPr>
        <w:t xml:space="preserve">,” </w:t>
      </w:r>
      <w:r w:rsidR="009B69A0">
        <w:rPr>
          <w:sz w:val="24"/>
          <w:szCs w:val="24"/>
        </w:rPr>
        <w:t>that “OAG’s proposed removal of Grievant</w:t>
      </w:r>
      <w:r w:rsidR="00E92AF9">
        <w:rPr>
          <w:sz w:val="24"/>
          <w:szCs w:val="24"/>
        </w:rPr>
        <w:t xml:space="preserve"> was ‘not supported by a preponderance of the evidence,’” and recommendation that the OAG reduce the Grievant’s discipline from removal to counseling.</w:t>
      </w:r>
      <w:r w:rsidR="00E92AF9">
        <w:rPr>
          <w:rStyle w:val="FootnoteReference"/>
          <w:sz w:val="24"/>
          <w:szCs w:val="24"/>
        </w:rPr>
        <w:footnoteReference w:id="33"/>
      </w:r>
      <w:r w:rsidR="00DD09D4">
        <w:rPr>
          <w:sz w:val="24"/>
          <w:szCs w:val="24"/>
        </w:rPr>
        <w:t xml:space="preserve"> The Arbitrator stated that the findings in the Merits Award “demonstrate unquestionably that OAG’s termination of Grievant was ‘clearly without merit’ and ‘wholly unfounded.’”</w:t>
      </w:r>
      <w:r w:rsidR="00DD09D4">
        <w:rPr>
          <w:rStyle w:val="FootnoteReference"/>
          <w:sz w:val="24"/>
          <w:szCs w:val="24"/>
        </w:rPr>
        <w:footnoteReference w:id="34"/>
      </w:r>
      <w:r w:rsidR="00C43213">
        <w:rPr>
          <w:sz w:val="24"/>
          <w:szCs w:val="24"/>
        </w:rPr>
        <w:t xml:space="preserve"> He further stated that the Grievant’s reinstatement with backpay demonstrated that “she was more than ‘substantially innocent’ of the charges leveled against her by OAG</w:t>
      </w:r>
      <w:r w:rsidR="00260FE3">
        <w:rPr>
          <w:sz w:val="24"/>
          <w:szCs w:val="24"/>
        </w:rPr>
        <w:t xml:space="preserve">,” </w:t>
      </w:r>
      <w:r w:rsidR="00263856">
        <w:rPr>
          <w:sz w:val="24"/>
          <w:szCs w:val="24"/>
        </w:rPr>
        <w:t xml:space="preserve">that the Hearing Officer’s findings </w:t>
      </w:r>
      <w:r w:rsidR="005826CA">
        <w:rPr>
          <w:sz w:val="24"/>
          <w:szCs w:val="24"/>
        </w:rPr>
        <w:t>were the latest point</w:t>
      </w:r>
      <w:r w:rsidR="002D4446">
        <w:rPr>
          <w:sz w:val="24"/>
          <w:szCs w:val="24"/>
        </w:rPr>
        <w:t xml:space="preserve"> that OAG “knew or should have known that it would not prevail on the merits</w:t>
      </w:r>
      <w:r w:rsidR="00260FE3">
        <w:rPr>
          <w:sz w:val="24"/>
          <w:szCs w:val="24"/>
        </w:rPr>
        <w:t>,</w:t>
      </w:r>
      <w:r w:rsidR="002D4446">
        <w:rPr>
          <w:sz w:val="24"/>
          <w:szCs w:val="24"/>
        </w:rPr>
        <w:t>”</w:t>
      </w:r>
      <w:r w:rsidR="00260FE3">
        <w:rPr>
          <w:sz w:val="24"/>
          <w:szCs w:val="24"/>
        </w:rPr>
        <w:t xml:space="preserve"> and that it was “clear from the outset that Grievant had not committed any act or omission that warranted discipline.”</w:t>
      </w:r>
      <w:r w:rsidR="00260FE3">
        <w:rPr>
          <w:rStyle w:val="FootnoteReference"/>
          <w:sz w:val="24"/>
          <w:szCs w:val="24"/>
        </w:rPr>
        <w:footnoteReference w:id="35"/>
      </w:r>
      <w:r w:rsidR="009E1648">
        <w:rPr>
          <w:sz w:val="24"/>
          <w:szCs w:val="24"/>
        </w:rPr>
        <w:t xml:space="preserve"> Based on the </w:t>
      </w:r>
      <w:r w:rsidR="00D02902">
        <w:rPr>
          <w:sz w:val="24"/>
          <w:szCs w:val="24"/>
        </w:rPr>
        <w:t xml:space="preserve">foregoing </w:t>
      </w:r>
      <w:r w:rsidR="00652D44">
        <w:rPr>
          <w:sz w:val="24"/>
          <w:szCs w:val="24"/>
        </w:rPr>
        <w:t xml:space="preserve">analysis, the Arbitrator determined that the record as a whole clearly demonstrated that awarding </w:t>
      </w:r>
      <w:r w:rsidR="005F5C7B">
        <w:rPr>
          <w:sz w:val="24"/>
          <w:szCs w:val="24"/>
        </w:rPr>
        <w:t xml:space="preserve">the requested </w:t>
      </w:r>
      <w:r w:rsidR="000F5953">
        <w:rPr>
          <w:sz w:val="24"/>
          <w:szCs w:val="24"/>
        </w:rPr>
        <w:t>attorney fees to AFSCME would be in the interest of justice.</w:t>
      </w:r>
      <w:r w:rsidR="000F5953">
        <w:rPr>
          <w:rStyle w:val="FootnoteReference"/>
          <w:sz w:val="24"/>
          <w:szCs w:val="24"/>
        </w:rPr>
        <w:footnoteReference w:id="36"/>
      </w:r>
    </w:p>
    <w:p w14:paraId="60BDCF36" w14:textId="5E6620BC" w:rsidR="00FB124F" w:rsidRDefault="00FB124F" w:rsidP="002B42F3">
      <w:pPr>
        <w:spacing w:after="0" w:line="240" w:lineRule="auto"/>
        <w:ind w:firstLine="720"/>
        <w:jc w:val="both"/>
        <w:rPr>
          <w:sz w:val="24"/>
          <w:szCs w:val="24"/>
        </w:rPr>
      </w:pPr>
    </w:p>
    <w:p w14:paraId="57562179" w14:textId="77777777" w:rsidR="00754903" w:rsidRDefault="00754903" w:rsidP="00754903">
      <w:pPr>
        <w:pStyle w:val="ListParagraph"/>
        <w:numPr>
          <w:ilvl w:val="0"/>
          <w:numId w:val="1"/>
        </w:numPr>
        <w:spacing w:after="0" w:line="240" w:lineRule="auto"/>
        <w:ind w:left="720"/>
        <w:jc w:val="both"/>
        <w:rPr>
          <w:b/>
          <w:sz w:val="24"/>
          <w:szCs w:val="24"/>
        </w:rPr>
      </w:pPr>
      <w:r>
        <w:rPr>
          <w:b/>
          <w:sz w:val="24"/>
          <w:szCs w:val="24"/>
        </w:rPr>
        <w:t>Discussion</w:t>
      </w:r>
    </w:p>
    <w:p w14:paraId="730C6BE5" w14:textId="07A4A92B" w:rsidR="00755EAB" w:rsidRDefault="00755EAB" w:rsidP="00755EAB">
      <w:pPr>
        <w:pStyle w:val="ListParagraph"/>
        <w:spacing w:after="0" w:line="240" w:lineRule="auto"/>
        <w:jc w:val="both"/>
        <w:rPr>
          <w:b/>
          <w:sz w:val="24"/>
          <w:szCs w:val="24"/>
        </w:rPr>
      </w:pPr>
    </w:p>
    <w:p w14:paraId="31617BD9" w14:textId="413606EE" w:rsidR="003B30EC" w:rsidRPr="006C77A0" w:rsidRDefault="008F641E" w:rsidP="006C77A0">
      <w:pPr>
        <w:spacing w:after="0" w:line="240" w:lineRule="auto"/>
        <w:ind w:firstLine="720"/>
        <w:jc w:val="both"/>
        <w:rPr>
          <w:bCs/>
          <w:sz w:val="24"/>
          <w:szCs w:val="24"/>
        </w:rPr>
      </w:pPr>
      <w:bookmarkStart w:id="0" w:name="_Hlk213081306"/>
      <w:r>
        <w:rPr>
          <w:bCs/>
          <w:sz w:val="24"/>
          <w:szCs w:val="24"/>
        </w:rPr>
        <w:t>Board Rule 538.1 states, in pertinent part, that “[a] party to a grievance arbitration proceeding who is aggrieved by the arbitration award may file with the Board a request for review of the award no later than twenty-one (21) days after service of the award.</w:t>
      </w:r>
      <w:r w:rsidR="001F2137">
        <w:rPr>
          <w:bCs/>
          <w:sz w:val="24"/>
          <w:szCs w:val="24"/>
        </w:rPr>
        <w:t>”</w:t>
      </w:r>
      <w:bookmarkEnd w:id="0"/>
      <w:r w:rsidR="001F2137">
        <w:rPr>
          <w:rStyle w:val="FootnoteReference"/>
          <w:bCs/>
          <w:sz w:val="24"/>
          <w:szCs w:val="24"/>
        </w:rPr>
        <w:footnoteReference w:id="37"/>
      </w:r>
      <w:r>
        <w:rPr>
          <w:bCs/>
          <w:sz w:val="24"/>
          <w:szCs w:val="24"/>
        </w:rPr>
        <w:t xml:space="preserve"> </w:t>
      </w:r>
      <w:r w:rsidR="006C77A0" w:rsidRPr="006C77A0">
        <w:rPr>
          <w:bCs/>
          <w:sz w:val="24"/>
          <w:szCs w:val="24"/>
        </w:rPr>
        <w:t>Section 1-605.02(6) of the D.C. Official Code permits the Board to modify, set aside, or remand a grievance</w:t>
      </w:r>
      <w:r w:rsidR="00BC4412">
        <w:rPr>
          <w:bCs/>
          <w:sz w:val="24"/>
          <w:szCs w:val="24"/>
        </w:rPr>
        <w:t xml:space="preserve"> arbitration award in only three narrow circumstances: (1) if an arbitrator was without, or exceeded their jurisdiction; (2) if the award on its face is contrary to law and public policy; or (3) if the award was procured by fraud, collusion, or other similar and unlawful means.</w:t>
      </w:r>
      <w:r w:rsidR="00BC4412">
        <w:rPr>
          <w:rStyle w:val="FootnoteReference"/>
          <w:bCs/>
          <w:sz w:val="24"/>
          <w:szCs w:val="24"/>
        </w:rPr>
        <w:footnoteReference w:id="38"/>
      </w:r>
      <w:r w:rsidR="00C06A9E">
        <w:rPr>
          <w:bCs/>
          <w:sz w:val="24"/>
          <w:szCs w:val="24"/>
        </w:rPr>
        <w:t xml:space="preserve"> OAG requests review on the grounds that the Fee Award is contrary to law and public policy and that the Arbitrator exceeded his jurisdiction in awarding attorney fees to AFSCME.</w:t>
      </w:r>
      <w:r w:rsidR="00C06A9E">
        <w:rPr>
          <w:rStyle w:val="FootnoteReference"/>
          <w:bCs/>
          <w:sz w:val="24"/>
          <w:szCs w:val="24"/>
        </w:rPr>
        <w:footnoteReference w:id="39"/>
      </w:r>
    </w:p>
    <w:p w14:paraId="3744E44C" w14:textId="77777777" w:rsidR="003B30EC" w:rsidRDefault="003B30EC" w:rsidP="00755EAB">
      <w:pPr>
        <w:pStyle w:val="ListParagraph"/>
        <w:spacing w:after="0" w:line="240" w:lineRule="auto"/>
        <w:jc w:val="both"/>
        <w:rPr>
          <w:b/>
          <w:sz w:val="24"/>
          <w:szCs w:val="24"/>
        </w:rPr>
      </w:pPr>
    </w:p>
    <w:p w14:paraId="49384092" w14:textId="1243047C" w:rsidR="00755EAB" w:rsidRDefault="00DE1A07" w:rsidP="00755EAB">
      <w:pPr>
        <w:pStyle w:val="ListParagraph"/>
        <w:numPr>
          <w:ilvl w:val="1"/>
          <w:numId w:val="1"/>
        </w:numPr>
        <w:spacing w:after="0" w:line="240" w:lineRule="auto"/>
        <w:jc w:val="both"/>
        <w:rPr>
          <w:b/>
          <w:sz w:val="24"/>
          <w:szCs w:val="24"/>
        </w:rPr>
      </w:pPr>
      <w:r>
        <w:rPr>
          <w:b/>
          <w:sz w:val="24"/>
          <w:szCs w:val="24"/>
        </w:rPr>
        <w:t>The Fee Award is not contrary to law</w:t>
      </w:r>
      <w:r w:rsidR="003B30EC">
        <w:rPr>
          <w:b/>
          <w:sz w:val="24"/>
          <w:szCs w:val="24"/>
        </w:rPr>
        <w:t>.</w:t>
      </w:r>
    </w:p>
    <w:p w14:paraId="6695144A" w14:textId="2083D659" w:rsidR="003B30EC" w:rsidRDefault="003B30EC" w:rsidP="003B30EC">
      <w:pPr>
        <w:pStyle w:val="ListParagraph"/>
        <w:spacing w:after="0" w:line="240" w:lineRule="auto"/>
        <w:ind w:left="1440"/>
        <w:jc w:val="both"/>
        <w:rPr>
          <w:b/>
          <w:sz w:val="24"/>
          <w:szCs w:val="24"/>
        </w:rPr>
      </w:pPr>
    </w:p>
    <w:p w14:paraId="0D98B20C" w14:textId="50A35FAB" w:rsidR="00CD3F2B" w:rsidRDefault="00E912EE" w:rsidP="00CD3F2B">
      <w:pPr>
        <w:spacing w:after="0" w:line="240" w:lineRule="auto"/>
        <w:ind w:firstLine="720"/>
        <w:jc w:val="both"/>
        <w:rPr>
          <w:bCs/>
          <w:sz w:val="24"/>
          <w:szCs w:val="24"/>
        </w:rPr>
      </w:pPr>
      <w:r w:rsidRPr="00E912EE">
        <w:rPr>
          <w:bCs/>
          <w:sz w:val="24"/>
          <w:szCs w:val="24"/>
        </w:rPr>
        <w:t>OAG bears the burden of demonstrating that the Award itself violates established law or</w:t>
      </w:r>
      <w:r>
        <w:rPr>
          <w:bCs/>
          <w:sz w:val="24"/>
          <w:szCs w:val="24"/>
        </w:rPr>
        <w:t xml:space="preserve"> </w:t>
      </w:r>
      <w:r w:rsidRPr="00E912EE">
        <w:rPr>
          <w:bCs/>
          <w:sz w:val="24"/>
          <w:szCs w:val="24"/>
        </w:rPr>
        <w:t>compels an explicit violation of “well defined public policy grounded in law and or legal</w:t>
      </w:r>
      <w:r>
        <w:rPr>
          <w:bCs/>
          <w:sz w:val="24"/>
          <w:szCs w:val="24"/>
        </w:rPr>
        <w:t xml:space="preserve"> </w:t>
      </w:r>
      <w:r w:rsidRPr="00E912EE">
        <w:rPr>
          <w:bCs/>
          <w:sz w:val="24"/>
          <w:szCs w:val="24"/>
        </w:rPr>
        <w:t>precedent.”</w:t>
      </w:r>
      <w:r>
        <w:rPr>
          <w:rStyle w:val="FootnoteReference"/>
          <w:bCs/>
          <w:sz w:val="24"/>
          <w:szCs w:val="24"/>
        </w:rPr>
        <w:footnoteReference w:id="40"/>
      </w:r>
      <w:r>
        <w:rPr>
          <w:bCs/>
          <w:sz w:val="24"/>
          <w:szCs w:val="24"/>
        </w:rPr>
        <w:t xml:space="preserve"> </w:t>
      </w:r>
      <w:r w:rsidR="00DD7313">
        <w:rPr>
          <w:bCs/>
          <w:sz w:val="24"/>
          <w:szCs w:val="24"/>
        </w:rPr>
        <w:t>Furthermore, OAG has the burden to specify “applicable law and public policy that mandates that the Arbitrator arrive at a different result.”</w:t>
      </w:r>
      <w:r w:rsidR="00DD7313">
        <w:rPr>
          <w:rStyle w:val="FootnoteReference"/>
          <w:bCs/>
          <w:sz w:val="24"/>
          <w:szCs w:val="24"/>
        </w:rPr>
        <w:footnoteReference w:id="41"/>
      </w:r>
      <w:r w:rsidR="00DD7313">
        <w:rPr>
          <w:bCs/>
          <w:sz w:val="24"/>
          <w:szCs w:val="24"/>
        </w:rPr>
        <w:t xml:space="preserve"> </w:t>
      </w:r>
      <w:r w:rsidR="00CD3F2B" w:rsidRPr="00CD3F2B">
        <w:rPr>
          <w:bCs/>
          <w:sz w:val="24"/>
          <w:szCs w:val="24"/>
        </w:rPr>
        <w:t>The D.C. Court of Appeals has</w:t>
      </w:r>
      <w:r w:rsidR="00CD3F2B">
        <w:rPr>
          <w:bCs/>
          <w:sz w:val="24"/>
          <w:szCs w:val="24"/>
        </w:rPr>
        <w:t xml:space="preserve"> </w:t>
      </w:r>
      <w:r w:rsidR="00CD3F2B" w:rsidRPr="00CD3F2B">
        <w:rPr>
          <w:bCs/>
          <w:sz w:val="24"/>
          <w:szCs w:val="24"/>
        </w:rPr>
        <w:t>reasoned, “Absent a clear violation of law[,] one evident on the face of the arbitrator’s award, the</w:t>
      </w:r>
      <w:r w:rsidR="00CD3F2B">
        <w:rPr>
          <w:bCs/>
          <w:sz w:val="24"/>
          <w:szCs w:val="24"/>
        </w:rPr>
        <w:t xml:space="preserve"> </w:t>
      </w:r>
      <w:r w:rsidR="00CD3F2B" w:rsidRPr="00CD3F2B">
        <w:rPr>
          <w:bCs/>
          <w:sz w:val="24"/>
          <w:szCs w:val="24"/>
        </w:rPr>
        <w:t>[Board] lacks authority to substitute its judgment for the arbitrator’s.”</w:t>
      </w:r>
      <w:r w:rsidR="00CD3F2B">
        <w:rPr>
          <w:rStyle w:val="FootnoteReference"/>
          <w:bCs/>
          <w:sz w:val="24"/>
          <w:szCs w:val="24"/>
        </w:rPr>
        <w:footnoteReference w:id="42"/>
      </w:r>
    </w:p>
    <w:p w14:paraId="4E423546" w14:textId="77777777" w:rsidR="00CD3F2B" w:rsidRDefault="00CD3F2B" w:rsidP="00E912EE">
      <w:pPr>
        <w:spacing w:after="0" w:line="240" w:lineRule="auto"/>
        <w:ind w:firstLine="720"/>
        <w:jc w:val="both"/>
        <w:rPr>
          <w:bCs/>
          <w:sz w:val="24"/>
          <w:szCs w:val="24"/>
        </w:rPr>
      </w:pPr>
    </w:p>
    <w:p w14:paraId="6C8C58F6" w14:textId="7F193B22" w:rsidR="003518FC" w:rsidRDefault="00A50ED9" w:rsidP="00E912EE">
      <w:pPr>
        <w:spacing w:after="0" w:line="240" w:lineRule="auto"/>
        <w:ind w:firstLine="720"/>
        <w:jc w:val="both"/>
        <w:rPr>
          <w:bCs/>
          <w:sz w:val="24"/>
          <w:szCs w:val="24"/>
        </w:rPr>
      </w:pPr>
      <w:r>
        <w:rPr>
          <w:bCs/>
          <w:sz w:val="24"/>
          <w:szCs w:val="24"/>
        </w:rPr>
        <w:t xml:space="preserve">OAG </w:t>
      </w:r>
      <w:r w:rsidR="00AE4C9C">
        <w:rPr>
          <w:bCs/>
          <w:sz w:val="24"/>
          <w:szCs w:val="24"/>
        </w:rPr>
        <w:t xml:space="preserve">primarily reiterates </w:t>
      </w:r>
      <w:r w:rsidR="008D4645">
        <w:rPr>
          <w:bCs/>
          <w:sz w:val="24"/>
          <w:szCs w:val="24"/>
        </w:rPr>
        <w:t xml:space="preserve">arguments it made before the Arbitrator, </w:t>
      </w:r>
      <w:r>
        <w:rPr>
          <w:bCs/>
          <w:sz w:val="24"/>
          <w:szCs w:val="24"/>
        </w:rPr>
        <w:t>assert</w:t>
      </w:r>
      <w:r w:rsidR="008D4645">
        <w:rPr>
          <w:bCs/>
          <w:sz w:val="24"/>
          <w:szCs w:val="24"/>
        </w:rPr>
        <w:t>ing</w:t>
      </w:r>
      <w:r>
        <w:rPr>
          <w:bCs/>
          <w:sz w:val="24"/>
          <w:szCs w:val="24"/>
        </w:rPr>
        <w:t xml:space="preserve"> that</w:t>
      </w:r>
      <w:r w:rsidR="00FE765B">
        <w:rPr>
          <w:bCs/>
          <w:sz w:val="24"/>
          <w:szCs w:val="24"/>
        </w:rPr>
        <w:t xml:space="preserve"> </w:t>
      </w:r>
      <w:r w:rsidR="000B636C">
        <w:rPr>
          <w:bCs/>
          <w:sz w:val="24"/>
          <w:szCs w:val="24"/>
        </w:rPr>
        <w:t>the Arbitrator’s application of the BPA is contrary to law and public policy because</w:t>
      </w:r>
      <w:r w:rsidR="00B97EC0">
        <w:rPr>
          <w:bCs/>
          <w:sz w:val="24"/>
          <w:szCs w:val="24"/>
        </w:rPr>
        <w:t>: (1)</w:t>
      </w:r>
      <w:r w:rsidR="000B636C">
        <w:rPr>
          <w:bCs/>
          <w:sz w:val="24"/>
          <w:szCs w:val="24"/>
        </w:rPr>
        <w:t xml:space="preserve"> </w:t>
      </w:r>
      <w:r w:rsidR="00A923A3">
        <w:rPr>
          <w:bCs/>
          <w:sz w:val="24"/>
          <w:szCs w:val="24"/>
        </w:rPr>
        <w:t>the BPA does not apply to District government agencies</w:t>
      </w:r>
      <w:r w:rsidR="00203A40">
        <w:rPr>
          <w:bCs/>
          <w:sz w:val="24"/>
          <w:szCs w:val="24"/>
        </w:rPr>
        <w:t>;</w:t>
      </w:r>
      <w:r w:rsidR="00B0446C">
        <w:rPr>
          <w:rStyle w:val="FootnoteReference"/>
          <w:bCs/>
          <w:sz w:val="24"/>
          <w:szCs w:val="24"/>
        </w:rPr>
        <w:footnoteReference w:id="43"/>
      </w:r>
      <w:r w:rsidR="00E64739">
        <w:rPr>
          <w:bCs/>
          <w:sz w:val="24"/>
          <w:szCs w:val="24"/>
        </w:rPr>
        <w:t xml:space="preserve"> </w:t>
      </w:r>
      <w:r w:rsidR="00203A40">
        <w:rPr>
          <w:bCs/>
          <w:sz w:val="24"/>
          <w:szCs w:val="24"/>
        </w:rPr>
        <w:t>(2)</w:t>
      </w:r>
      <w:r w:rsidR="00F424C8">
        <w:rPr>
          <w:bCs/>
          <w:sz w:val="24"/>
          <w:szCs w:val="24"/>
        </w:rPr>
        <w:t xml:space="preserve"> </w:t>
      </w:r>
      <w:r w:rsidR="0095581F">
        <w:rPr>
          <w:bCs/>
          <w:sz w:val="24"/>
          <w:szCs w:val="24"/>
        </w:rPr>
        <w:t xml:space="preserve">OAG is specifically exempt from </w:t>
      </w:r>
      <w:r w:rsidR="007E20DC">
        <w:rPr>
          <w:bCs/>
          <w:sz w:val="24"/>
          <w:szCs w:val="24"/>
        </w:rPr>
        <w:t>application of the BPA</w:t>
      </w:r>
      <w:r w:rsidR="00993DF2">
        <w:rPr>
          <w:bCs/>
          <w:sz w:val="24"/>
          <w:szCs w:val="24"/>
        </w:rPr>
        <w:t>;</w:t>
      </w:r>
      <w:r w:rsidR="008B3B08">
        <w:rPr>
          <w:rStyle w:val="FootnoteReference"/>
          <w:bCs/>
          <w:sz w:val="24"/>
          <w:szCs w:val="24"/>
        </w:rPr>
        <w:footnoteReference w:id="44"/>
      </w:r>
      <w:r w:rsidR="00993DF2">
        <w:rPr>
          <w:bCs/>
          <w:sz w:val="24"/>
          <w:szCs w:val="24"/>
        </w:rPr>
        <w:t xml:space="preserve"> and (3) the amount of attorney fees awarded by the Arbitrator is unreasonable.</w:t>
      </w:r>
      <w:r w:rsidR="00993DF2">
        <w:rPr>
          <w:rStyle w:val="FootnoteReference"/>
          <w:bCs/>
          <w:sz w:val="24"/>
          <w:szCs w:val="24"/>
        </w:rPr>
        <w:footnoteReference w:id="45"/>
      </w:r>
      <w:r w:rsidR="002377A9">
        <w:rPr>
          <w:bCs/>
          <w:sz w:val="24"/>
          <w:szCs w:val="24"/>
        </w:rPr>
        <w:t xml:space="preserve"> </w:t>
      </w:r>
      <w:r w:rsidR="0085027F">
        <w:rPr>
          <w:bCs/>
          <w:sz w:val="24"/>
          <w:szCs w:val="24"/>
        </w:rPr>
        <w:t xml:space="preserve">OAG’s </w:t>
      </w:r>
      <w:r w:rsidR="002C1BF0">
        <w:rPr>
          <w:bCs/>
          <w:sz w:val="24"/>
          <w:szCs w:val="24"/>
        </w:rPr>
        <w:t xml:space="preserve">primary argument is that the </w:t>
      </w:r>
      <w:r w:rsidR="00035872">
        <w:rPr>
          <w:bCs/>
          <w:sz w:val="24"/>
          <w:szCs w:val="24"/>
        </w:rPr>
        <w:t xml:space="preserve">BPA </w:t>
      </w:r>
      <w:r w:rsidR="002C1BF0">
        <w:rPr>
          <w:bCs/>
          <w:sz w:val="24"/>
          <w:szCs w:val="24"/>
        </w:rPr>
        <w:t>does not directly apply to District agencies or to OAG specifically.</w:t>
      </w:r>
      <w:r w:rsidR="002C1BF0">
        <w:rPr>
          <w:rStyle w:val="FootnoteReference"/>
          <w:bCs/>
          <w:sz w:val="24"/>
          <w:szCs w:val="24"/>
        </w:rPr>
        <w:footnoteReference w:id="46"/>
      </w:r>
      <w:r w:rsidR="004C3B69">
        <w:rPr>
          <w:bCs/>
          <w:sz w:val="24"/>
          <w:szCs w:val="24"/>
        </w:rPr>
        <w:t xml:space="preserve"> OAG asserts that the </w:t>
      </w:r>
      <w:r w:rsidR="00A937F2">
        <w:rPr>
          <w:bCs/>
          <w:sz w:val="24"/>
          <w:szCs w:val="24"/>
        </w:rPr>
        <w:t xml:space="preserve">District of Columbia Home Rule Act of 1973 (Home Rule Act) and the CMPA </w:t>
      </w:r>
      <w:r w:rsidR="00EB48BA">
        <w:rPr>
          <w:bCs/>
          <w:sz w:val="24"/>
          <w:szCs w:val="24"/>
        </w:rPr>
        <w:t>supersede the BPA “for all employees of the District of Columbia Government.”</w:t>
      </w:r>
      <w:r w:rsidR="00EB48BA">
        <w:rPr>
          <w:rStyle w:val="FootnoteReference"/>
          <w:bCs/>
          <w:sz w:val="24"/>
          <w:szCs w:val="24"/>
        </w:rPr>
        <w:footnoteReference w:id="47"/>
      </w:r>
      <w:r w:rsidR="007566EC">
        <w:rPr>
          <w:bCs/>
          <w:sz w:val="24"/>
          <w:szCs w:val="24"/>
        </w:rPr>
        <w:t xml:space="preserve"> OAG further asserts</w:t>
      </w:r>
      <w:r w:rsidR="00945A42">
        <w:rPr>
          <w:bCs/>
          <w:sz w:val="24"/>
          <w:szCs w:val="24"/>
        </w:rPr>
        <w:t xml:space="preserve"> that the District Personnel Manual (DPM) established a “new compensation system” that supersedes the BPA.</w:t>
      </w:r>
      <w:r w:rsidR="00945A42">
        <w:rPr>
          <w:rStyle w:val="FootnoteReference"/>
          <w:bCs/>
          <w:sz w:val="24"/>
          <w:szCs w:val="24"/>
        </w:rPr>
        <w:footnoteReference w:id="48"/>
      </w:r>
      <w:r w:rsidR="00F66332">
        <w:rPr>
          <w:bCs/>
          <w:sz w:val="24"/>
          <w:szCs w:val="24"/>
        </w:rPr>
        <w:t xml:space="preserve"> </w:t>
      </w:r>
      <w:r w:rsidR="00ED7FCE">
        <w:rPr>
          <w:bCs/>
          <w:sz w:val="24"/>
          <w:szCs w:val="24"/>
        </w:rPr>
        <w:t xml:space="preserve">Finally, OAG </w:t>
      </w:r>
      <w:r w:rsidR="00480A0D">
        <w:rPr>
          <w:bCs/>
          <w:sz w:val="24"/>
          <w:szCs w:val="24"/>
        </w:rPr>
        <w:t>argues that its own independent personnel and compensation system supplants the BPA.</w:t>
      </w:r>
      <w:r w:rsidR="00480A0D">
        <w:rPr>
          <w:rStyle w:val="FootnoteReference"/>
          <w:bCs/>
          <w:sz w:val="24"/>
          <w:szCs w:val="24"/>
        </w:rPr>
        <w:footnoteReference w:id="49"/>
      </w:r>
      <w:r w:rsidR="00131AC8">
        <w:rPr>
          <w:bCs/>
          <w:sz w:val="24"/>
          <w:szCs w:val="24"/>
        </w:rPr>
        <w:t xml:space="preserve"> </w:t>
      </w:r>
      <w:r w:rsidR="00AD180F">
        <w:rPr>
          <w:bCs/>
          <w:sz w:val="24"/>
          <w:szCs w:val="24"/>
        </w:rPr>
        <w:t xml:space="preserve">District case law does not support these assertions nor </w:t>
      </w:r>
      <w:r w:rsidR="00AD180F">
        <w:rPr>
          <w:bCs/>
          <w:sz w:val="24"/>
          <w:szCs w:val="24"/>
        </w:rPr>
        <w:lastRenderedPageBreak/>
        <w:t>mandate that the Arbitrator arrive at a different result.</w:t>
      </w:r>
      <w:r w:rsidR="00AD180F">
        <w:rPr>
          <w:rStyle w:val="FootnoteReference"/>
          <w:bCs/>
          <w:sz w:val="24"/>
          <w:szCs w:val="24"/>
        </w:rPr>
        <w:footnoteReference w:id="50"/>
      </w:r>
      <w:r w:rsidR="00794867">
        <w:rPr>
          <w:bCs/>
          <w:sz w:val="24"/>
          <w:szCs w:val="24"/>
        </w:rPr>
        <w:t xml:space="preserve"> </w:t>
      </w:r>
      <w:r w:rsidR="00794867">
        <w:rPr>
          <w:bCs/>
          <w:i/>
          <w:iCs/>
          <w:sz w:val="24"/>
          <w:szCs w:val="24"/>
        </w:rPr>
        <w:t>Zenian</w:t>
      </w:r>
      <w:r w:rsidR="00794867">
        <w:rPr>
          <w:bCs/>
          <w:sz w:val="24"/>
          <w:szCs w:val="24"/>
        </w:rPr>
        <w:t xml:space="preserve"> </w:t>
      </w:r>
      <w:r w:rsidR="00900A46">
        <w:rPr>
          <w:bCs/>
          <w:sz w:val="24"/>
          <w:szCs w:val="24"/>
        </w:rPr>
        <w:t xml:space="preserve">firmly rejected </w:t>
      </w:r>
      <w:r w:rsidR="0025642C">
        <w:rPr>
          <w:bCs/>
          <w:sz w:val="24"/>
          <w:szCs w:val="24"/>
        </w:rPr>
        <w:t xml:space="preserve">the argument that </w:t>
      </w:r>
      <w:r w:rsidR="00672F31">
        <w:rPr>
          <w:bCs/>
          <w:sz w:val="24"/>
          <w:szCs w:val="24"/>
        </w:rPr>
        <w:t xml:space="preserve">District employees hired after January 1, 1980, were deprived of </w:t>
      </w:r>
      <w:r w:rsidR="00085A9E">
        <w:rPr>
          <w:bCs/>
          <w:sz w:val="24"/>
          <w:szCs w:val="24"/>
        </w:rPr>
        <w:t>coverage by the BPA</w:t>
      </w:r>
      <w:r w:rsidR="000F37DC">
        <w:rPr>
          <w:bCs/>
          <w:sz w:val="24"/>
          <w:szCs w:val="24"/>
        </w:rPr>
        <w:t xml:space="preserve"> or that the BPA </w:t>
      </w:r>
      <w:r w:rsidR="00DA0F6E">
        <w:rPr>
          <w:bCs/>
          <w:sz w:val="24"/>
          <w:szCs w:val="24"/>
        </w:rPr>
        <w:t>may be “applied in a piecemeal fashion,” as the attorney fees provisions “are an integral part of the Act as a whole and may not be severed from it.”</w:t>
      </w:r>
      <w:r w:rsidR="00DA0F6E">
        <w:rPr>
          <w:rStyle w:val="FootnoteReference"/>
          <w:bCs/>
          <w:sz w:val="24"/>
          <w:szCs w:val="24"/>
        </w:rPr>
        <w:footnoteReference w:id="51"/>
      </w:r>
      <w:r w:rsidR="0006545B">
        <w:rPr>
          <w:bCs/>
          <w:sz w:val="24"/>
          <w:szCs w:val="24"/>
        </w:rPr>
        <w:t xml:space="preserve"> The statute regarding personnel authority cited by OAG explicitly </w:t>
      </w:r>
      <w:r w:rsidR="001C0F45">
        <w:rPr>
          <w:bCs/>
          <w:sz w:val="24"/>
          <w:szCs w:val="24"/>
        </w:rPr>
        <w:t>states</w:t>
      </w:r>
      <w:r w:rsidR="003518FC">
        <w:rPr>
          <w:bCs/>
          <w:sz w:val="24"/>
          <w:szCs w:val="24"/>
        </w:rPr>
        <w:t>:</w:t>
      </w:r>
    </w:p>
    <w:p w14:paraId="5E883E34" w14:textId="77777777" w:rsidR="003518FC" w:rsidRDefault="003518FC" w:rsidP="00E912EE">
      <w:pPr>
        <w:spacing w:after="0" w:line="240" w:lineRule="auto"/>
        <w:ind w:firstLine="720"/>
        <w:jc w:val="both"/>
        <w:rPr>
          <w:bCs/>
          <w:sz w:val="24"/>
          <w:szCs w:val="24"/>
        </w:rPr>
      </w:pPr>
    </w:p>
    <w:p w14:paraId="19DB5817" w14:textId="4F3B4609" w:rsidR="00A43713" w:rsidRPr="00794867" w:rsidRDefault="00D1374B" w:rsidP="003518FC">
      <w:pPr>
        <w:spacing w:after="0" w:line="240" w:lineRule="auto"/>
        <w:ind w:left="720"/>
        <w:jc w:val="both"/>
        <w:rPr>
          <w:bCs/>
          <w:sz w:val="24"/>
          <w:szCs w:val="24"/>
        </w:rPr>
      </w:pPr>
      <w:r>
        <w:rPr>
          <w:bCs/>
          <w:sz w:val="24"/>
          <w:szCs w:val="24"/>
        </w:rPr>
        <w:t>T</w:t>
      </w:r>
      <w:r w:rsidR="001C0F45">
        <w:rPr>
          <w:bCs/>
          <w:sz w:val="24"/>
          <w:szCs w:val="24"/>
        </w:rPr>
        <w:t>he Attorney General’s personnel authority shall be independent of the personnel authority of the Mayor … except that the personnel provisions applicable to the Mayor under Chapter 6</w:t>
      </w:r>
      <w:r w:rsidR="003103A6">
        <w:rPr>
          <w:bCs/>
          <w:sz w:val="24"/>
          <w:szCs w:val="24"/>
        </w:rPr>
        <w:t xml:space="preserve"> of this title [§ 1-601.01 et seq.], shall apply to the Attorney General’s exercise of this authority, unless specifically exempted by District statute.</w:t>
      </w:r>
      <w:r w:rsidR="003103A6">
        <w:rPr>
          <w:rStyle w:val="FootnoteReference"/>
          <w:bCs/>
          <w:sz w:val="24"/>
          <w:szCs w:val="24"/>
        </w:rPr>
        <w:footnoteReference w:id="52"/>
      </w:r>
    </w:p>
    <w:p w14:paraId="6C86F13D" w14:textId="77777777" w:rsidR="006A1B72" w:rsidRDefault="006A1B72" w:rsidP="00E912EE">
      <w:pPr>
        <w:spacing w:after="0" w:line="240" w:lineRule="auto"/>
        <w:ind w:firstLine="720"/>
        <w:jc w:val="both"/>
        <w:rPr>
          <w:bCs/>
          <w:sz w:val="24"/>
          <w:szCs w:val="24"/>
        </w:rPr>
      </w:pPr>
    </w:p>
    <w:p w14:paraId="6E8094A9" w14:textId="176A6D43" w:rsidR="00D1374B" w:rsidRDefault="009E3AEC" w:rsidP="00D1374B">
      <w:pPr>
        <w:spacing w:after="0" w:line="240" w:lineRule="auto"/>
        <w:jc w:val="both"/>
        <w:rPr>
          <w:bCs/>
          <w:sz w:val="24"/>
          <w:szCs w:val="24"/>
        </w:rPr>
      </w:pPr>
      <w:r>
        <w:rPr>
          <w:bCs/>
          <w:sz w:val="24"/>
          <w:szCs w:val="24"/>
        </w:rPr>
        <w:t xml:space="preserve">OAG has not presented </w:t>
      </w:r>
      <w:r w:rsidR="001106C3">
        <w:rPr>
          <w:bCs/>
          <w:sz w:val="24"/>
          <w:szCs w:val="24"/>
        </w:rPr>
        <w:t xml:space="preserve">a compelling argument that it </w:t>
      </w:r>
      <w:r w:rsidR="006F1A5C">
        <w:rPr>
          <w:bCs/>
          <w:sz w:val="24"/>
          <w:szCs w:val="24"/>
        </w:rPr>
        <w:t xml:space="preserve">is </w:t>
      </w:r>
      <w:proofErr w:type="gramStart"/>
      <w:r w:rsidR="006F1A5C">
        <w:rPr>
          <w:bCs/>
          <w:sz w:val="24"/>
          <w:szCs w:val="24"/>
        </w:rPr>
        <w:t>specially</w:t>
      </w:r>
      <w:proofErr w:type="gramEnd"/>
      <w:r w:rsidR="006F1A5C">
        <w:rPr>
          <w:bCs/>
          <w:sz w:val="24"/>
          <w:szCs w:val="24"/>
        </w:rPr>
        <w:t xml:space="preserve"> exempted from </w:t>
      </w:r>
      <w:r w:rsidR="008A0298">
        <w:rPr>
          <w:bCs/>
          <w:sz w:val="24"/>
          <w:szCs w:val="24"/>
        </w:rPr>
        <w:t xml:space="preserve">District or </w:t>
      </w:r>
      <w:r w:rsidR="006F1A5C">
        <w:rPr>
          <w:bCs/>
          <w:sz w:val="24"/>
          <w:szCs w:val="24"/>
        </w:rPr>
        <w:t>Board precedent finding</w:t>
      </w:r>
      <w:r w:rsidR="00A44F0E">
        <w:rPr>
          <w:bCs/>
          <w:sz w:val="24"/>
          <w:szCs w:val="24"/>
        </w:rPr>
        <w:t xml:space="preserve"> that </w:t>
      </w:r>
      <w:r w:rsidR="00375CC2">
        <w:rPr>
          <w:bCs/>
          <w:sz w:val="24"/>
          <w:szCs w:val="24"/>
        </w:rPr>
        <w:t xml:space="preserve">District agencies </w:t>
      </w:r>
      <w:r w:rsidR="00E11EE0">
        <w:rPr>
          <w:bCs/>
          <w:sz w:val="24"/>
          <w:szCs w:val="24"/>
        </w:rPr>
        <w:t>remain beholden to both the BPA and the CMPA.</w:t>
      </w:r>
      <w:r w:rsidR="00E11EE0">
        <w:rPr>
          <w:rStyle w:val="FootnoteReference"/>
          <w:bCs/>
          <w:sz w:val="24"/>
          <w:szCs w:val="24"/>
        </w:rPr>
        <w:footnoteReference w:id="53"/>
      </w:r>
    </w:p>
    <w:p w14:paraId="24F16019" w14:textId="77777777" w:rsidR="000B5E77" w:rsidRDefault="000B5E77" w:rsidP="00D1374B">
      <w:pPr>
        <w:spacing w:after="0" w:line="240" w:lineRule="auto"/>
        <w:jc w:val="both"/>
        <w:rPr>
          <w:bCs/>
          <w:sz w:val="24"/>
          <w:szCs w:val="24"/>
        </w:rPr>
      </w:pPr>
    </w:p>
    <w:p w14:paraId="241CD14C" w14:textId="05FE7906" w:rsidR="00725BFA" w:rsidRDefault="000B5E77" w:rsidP="00E3063F">
      <w:pPr>
        <w:spacing w:after="0" w:line="240" w:lineRule="auto"/>
        <w:ind w:firstLine="720"/>
        <w:jc w:val="both"/>
        <w:rPr>
          <w:bCs/>
          <w:sz w:val="24"/>
          <w:szCs w:val="24"/>
        </w:rPr>
      </w:pPr>
      <w:r>
        <w:rPr>
          <w:bCs/>
          <w:sz w:val="24"/>
          <w:szCs w:val="24"/>
        </w:rPr>
        <w:t xml:space="preserve">OAG argues, in the alternative, that even if </w:t>
      </w:r>
      <w:r w:rsidR="00B82460">
        <w:rPr>
          <w:bCs/>
          <w:sz w:val="24"/>
          <w:szCs w:val="24"/>
        </w:rPr>
        <w:t xml:space="preserve">the BPA can serve as an independent basis for an award of attorney fees, the </w:t>
      </w:r>
      <w:r w:rsidR="006E7F5E" w:rsidRPr="006E7F5E">
        <w:rPr>
          <w:bCs/>
          <w:sz w:val="24"/>
          <w:szCs w:val="24"/>
        </w:rPr>
        <w:t>inclusion of the hours AFSCME’s attorneys worked on a failed motion to quash</w:t>
      </w:r>
      <w:r w:rsidR="00B82460">
        <w:rPr>
          <w:bCs/>
          <w:sz w:val="24"/>
          <w:szCs w:val="24"/>
        </w:rPr>
        <w:t xml:space="preserve"> is contrary to the BPA’s requirement that </w:t>
      </w:r>
      <w:r w:rsidR="009237EB">
        <w:rPr>
          <w:bCs/>
          <w:sz w:val="24"/>
          <w:szCs w:val="24"/>
        </w:rPr>
        <w:t>attorney fee awards must be “reasonable.”</w:t>
      </w:r>
      <w:r w:rsidR="009237EB">
        <w:rPr>
          <w:rStyle w:val="FootnoteReference"/>
          <w:bCs/>
          <w:sz w:val="24"/>
          <w:szCs w:val="24"/>
        </w:rPr>
        <w:footnoteReference w:id="54"/>
      </w:r>
      <w:r w:rsidR="00E3063F">
        <w:rPr>
          <w:bCs/>
          <w:sz w:val="24"/>
          <w:szCs w:val="24"/>
        </w:rPr>
        <w:t xml:space="preserve"> </w:t>
      </w:r>
      <w:r w:rsidR="000157B4">
        <w:rPr>
          <w:bCs/>
          <w:sz w:val="24"/>
          <w:szCs w:val="24"/>
        </w:rPr>
        <w:t xml:space="preserve">OAG asserts that </w:t>
      </w:r>
      <w:r w:rsidR="008B1BBF">
        <w:rPr>
          <w:bCs/>
          <w:sz w:val="24"/>
          <w:szCs w:val="24"/>
        </w:rPr>
        <w:t xml:space="preserve">the motion to quash </w:t>
      </w:r>
      <w:r w:rsidR="000F6FC3">
        <w:rPr>
          <w:bCs/>
          <w:sz w:val="24"/>
          <w:szCs w:val="24"/>
        </w:rPr>
        <w:t>a subpoena of the Grievant’s employment records from a third party was “wholly unrelated to the merits of the Reinstatement Award.”</w:t>
      </w:r>
      <w:r w:rsidR="000F6FC3">
        <w:rPr>
          <w:rStyle w:val="FootnoteReference"/>
          <w:bCs/>
          <w:sz w:val="24"/>
          <w:szCs w:val="24"/>
        </w:rPr>
        <w:footnoteReference w:id="55"/>
      </w:r>
      <w:r w:rsidR="000F6FC3">
        <w:rPr>
          <w:bCs/>
          <w:sz w:val="24"/>
          <w:szCs w:val="24"/>
        </w:rPr>
        <w:t xml:space="preserve"> </w:t>
      </w:r>
      <w:r w:rsidR="00C013D8">
        <w:rPr>
          <w:bCs/>
          <w:sz w:val="24"/>
          <w:szCs w:val="24"/>
        </w:rPr>
        <w:t xml:space="preserve">This argument is unavailing. </w:t>
      </w:r>
      <w:r w:rsidR="00E3063F">
        <w:rPr>
          <w:bCs/>
          <w:sz w:val="24"/>
          <w:szCs w:val="24"/>
        </w:rPr>
        <w:t xml:space="preserve">The Arbitrator comprehensively reviewed OAG’s arguments against </w:t>
      </w:r>
      <w:r w:rsidR="0089606B">
        <w:rPr>
          <w:bCs/>
          <w:sz w:val="24"/>
          <w:szCs w:val="24"/>
        </w:rPr>
        <w:t>the amount of attorney fees awarded</w:t>
      </w:r>
      <w:r w:rsidR="005D7497">
        <w:rPr>
          <w:bCs/>
          <w:sz w:val="24"/>
          <w:szCs w:val="24"/>
        </w:rPr>
        <w:t>, noting that</w:t>
      </w:r>
      <w:r w:rsidR="00432986">
        <w:rPr>
          <w:bCs/>
          <w:sz w:val="24"/>
          <w:szCs w:val="24"/>
        </w:rPr>
        <w:t>: (1)</w:t>
      </w:r>
      <w:r w:rsidR="005D7497">
        <w:rPr>
          <w:bCs/>
          <w:sz w:val="24"/>
          <w:szCs w:val="24"/>
        </w:rPr>
        <w:t xml:space="preserve"> the instant arbitration involved a significant amount of complex work for both parties </w:t>
      </w:r>
      <w:r w:rsidR="00CE1DAF">
        <w:rPr>
          <w:bCs/>
          <w:sz w:val="24"/>
          <w:szCs w:val="24"/>
        </w:rPr>
        <w:t>throughout multiple years of litigation</w:t>
      </w:r>
      <w:r w:rsidR="00432986">
        <w:rPr>
          <w:bCs/>
          <w:sz w:val="24"/>
          <w:szCs w:val="24"/>
        </w:rPr>
        <w:t xml:space="preserve">; (2) AFSCME </w:t>
      </w:r>
      <w:r w:rsidR="00CA327A">
        <w:rPr>
          <w:bCs/>
          <w:sz w:val="24"/>
          <w:szCs w:val="24"/>
        </w:rPr>
        <w:t xml:space="preserve">thoroughly documented its attorneys’ hours worked and billed; (3) </w:t>
      </w:r>
      <w:r w:rsidR="00121D85">
        <w:rPr>
          <w:bCs/>
          <w:sz w:val="24"/>
          <w:szCs w:val="24"/>
        </w:rPr>
        <w:t>AFSCME’s attorneys billed for significantly fewer hours than actually worked and AFSCME itself discounted its hours by a flat ten (10) percent</w:t>
      </w:r>
      <w:r w:rsidR="00A72587">
        <w:rPr>
          <w:bCs/>
          <w:sz w:val="24"/>
          <w:szCs w:val="24"/>
        </w:rPr>
        <w:t>;</w:t>
      </w:r>
      <w:r w:rsidR="005B55E5">
        <w:rPr>
          <w:bCs/>
          <w:sz w:val="24"/>
          <w:szCs w:val="24"/>
        </w:rPr>
        <w:t xml:space="preserve"> </w:t>
      </w:r>
      <w:r w:rsidR="00A72587">
        <w:rPr>
          <w:bCs/>
          <w:sz w:val="24"/>
          <w:szCs w:val="24"/>
        </w:rPr>
        <w:t xml:space="preserve">(4) </w:t>
      </w:r>
      <w:r w:rsidR="00A14EAF">
        <w:rPr>
          <w:bCs/>
          <w:sz w:val="24"/>
          <w:szCs w:val="24"/>
        </w:rPr>
        <w:t>“block billing” improves the practicality and efficiency of attorney’s work and tracking of hours</w:t>
      </w:r>
      <w:r w:rsidR="0015069E">
        <w:rPr>
          <w:bCs/>
          <w:sz w:val="24"/>
          <w:szCs w:val="24"/>
        </w:rPr>
        <w:t xml:space="preserve">; and (5) AFSCME appropriately </w:t>
      </w:r>
      <w:r w:rsidR="00A5068F">
        <w:rPr>
          <w:bCs/>
          <w:sz w:val="24"/>
          <w:szCs w:val="24"/>
        </w:rPr>
        <w:t>used the Fitzpatrick Matrix to calculate attorney fees</w:t>
      </w:r>
      <w:r w:rsidR="00121D85">
        <w:rPr>
          <w:bCs/>
          <w:sz w:val="24"/>
          <w:szCs w:val="24"/>
        </w:rPr>
        <w:t>.</w:t>
      </w:r>
      <w:r w:rsidR="00CE1DAF">
        <w:rPr>
          <w:rStyle w:val="FootnoteReference"/>
          <w:bCs/>
          <w:sz w:val="24"/>
          <w:szCs w:val="24"/>
        </w:rPr>
        <w:footnoteReference w:id="56"/>
      </w:r>
      <w:r w:rsidR="005B55E5">
        <w:rPr>
          <w:bCs/>
          <w:sz w:val="24"/>
          <w:szCs w:val="24"/>
        </w:rPr>
        <w:t xml:space="preserve"> </w:t>
      </w:r>
    </w:p>
    <w:p w14:paraId="1BDF8F11" w14:textId="77777777" w:rsidR="00FC1C1D" w:rsidRDefault="00FC1C1D" w:rsidP="00E3063F">
      <w:pPr>
        <w:spacing w:after="0" w:line="240" w:lineRule="auto"/>
        <w:ind w:firstLine="720"/>
        <w:jc w:val="both"/>
        <w:rPr>
          <w:bCs/>
          <w:sz w:val="24"/>
          <w:szCs w:val="24"/>
        </w:rPr>
      </w:pPr>
    </w:p>
    <w:p w14:paraId="0643E83E" w14:textId="59625302" w:rsidR="00687445" w:rsidRDefault="005353F1" w:rsidP="00687445">
      <w:pPr>
        <w:spacing w:after="0" w:line="240" w:lineRule="auto"/>
        <w:ind w:firstLine="720"/>
        <w:jc w:val="both"/>
        <w:rPr>
          <w:bCs/>
          <w:sz w:val="24"/>
          <w:szCs w:val="24"/>
        </w:rPr>
      </w:pPr>
      <w:r>
        <w:rPr>
          <w:bCs/>
          <w:sz w:val="24"/>
          <w:szCs w:val="24"/>
        </w:rPr>
        <w:t xml:space="preserve">The Supreme Court has held that in some cases where a plaintiff presents multiple distinct claims for relief based on different facts and legal theories, and did not succeed </w:t>
      </w:r>
      <w:proofErr w:type="gramStart"/>
      <w:r>
        <w:rPr>
          <w:bCs/>
          <w:sz w:val="24"/>
          <w:szCs w:val="24"/>
        </w:rPr>
        <w:t>on</w:t>
      </w:r>
      <w:proofErr w:type="gramEnd"/>
      <w:r>
        <w:rPr>
          <w:bCs/>
          <w:sz w:val="24"/>
          <w:szCs w:val="24"/>
        </w:rPr>
        <w:t xml:space="preserve"> all claims, </w:t>
      </w:r>
      <w:r w:rsidR="00E27EA0">
        <w:rPr>
          <w:bCs/>
          <w:sz w:val="24"/>
          <w:szCs w:val="24"/>
        </w:rPr>
        <w:t>it may not be appropriate to award attorney fees for unsuccessful claims.</w:t>
      </w:r>
      <w:r w:rsidR="00E27EA0">
        <w:rPr>
          <w:rStyle w:val="FootnoteReference"/>
          <w:bCs/>
          <w:sz w:val="24"/>
          <w:szCs w:val="24"/>
        </w:rPr>
        <w:footnoteReference w:id="57"/>
      </w:r>
      <w:r w:rsidR="00E27EA0">
        <w:rPr>
          <w:bCs/>
          <w:sz w:val="24"/>
          <w:szCs w:val="24"/>
        </w:rPr>
        <w:t xml:space="preserve"> </w:t>
      </w:r>
      <w:r w:rsidR="00687445">
        <w:rPr>
          <w:bCs/>
          <w:sz w:val="24"/>
          <w:szCs w:val="24"/>
        </w:rPr>
        <w:t xml:space="preserve">The Court further held that: </w:t>
      </w:r>
    </w:p>
    <w:p w14:paraId="76313E5A" w14:textId="77777777" w:rsidR="00687445" w:rsidRDefault="00687445" w:rsidP="00687445">
      <w:pPr>
        <w:spacing w:after="0" w:line="240" w:lineRule="auto"/>
        <w:ind w:firstLine="720"/>
        <w:jc w:val="both"/>
        <w:rPr>
          <w:bCs/>
          <w:sz w:val="24"/>
          <w:szCs w:val="24"/>
        </w:rPr>
      </w:pPr>
    </w:p>
    <w:p w14:paraId="5A320CDD" w14:textId="77777777" w:rsidR="00687445" w:rsidRDefault="00687445" w:rsidP="00687445">
      <w:pPr>
        <w:spacing w:after="0" w:line="240" w:lineRule="auto"/>
        <w:ind w:left="720"/>
        <w:jc w:val="both"/>
        <w:rPr>
          <w:bCs/>
          <w:sz w:val="24"/>
          <w:szCs w:val="24"/>
        </w:rPr>
      </w:pPr>
      <w:r w:rsidRPr="00312E86">
        <w:rPr>
          <w:bCs/>
          <w:sz w:val="24"/>
          <w:szCs w:val="24"/>
        </w:rPr>
        <w:t xml:space="preserve">The most useful starting point for determining the amount of a reasonable fee is the number of hours reasonably </w:t>
      </w:r>
      <w:proofErr w:type="gramStart"/>
      <w:r w:rsidRPr="00312E86">
        <w:rPr>
          <w:bCs/>
          <w:sz w:val="24"/>
          <w:szCs w:val="24"/>
        </w:rPr>
        <w:t>expended</w:t>
      </w:r>
      <w:proofErr w:type="gramEnd"/>
      <w:r w:rsidRPr="00312E86">
        <w:rPr>
          <w:bCs/>
          <w:sz w:val="24"/>
          <w:szCs w:val="24"/>
        </w:rPr>
        <w:t xml:space="preserve"> on the litigation multiplied by a reasonable hourly rate. This calculation provides an objective basis on which to make an initial estimate of the value of a lawyer's services. The party seeking an award of fees should submit evidence supporting the hours worked and rates claimed. Where the documentation of hours is inadequate, the district court may reduce the award accordingly.</w:t>
      </w:r>
      <w:r>
        <w:rPr>
          <w:rStyle w:val="FootnoteReference"/>
          <w:bCs/>
          <w:sz w:val="24"/>
          <w:szCs w:val="24"/>
        </w:rPr>
        <w:footnoteReference w:id="58"/>
      </w:r>
    </w:p>
    <w:p w14:paraId="4D245207" w14:textId="77777777" w:rsidR="00687445" w:rsidRDefault="00687445" w:rsidP="00687445">
      <w:pPr>
        <w:spacing w:after="0" w:line="240" w:lineRule="auto"/>
        <w:jc w:val="both"/>
        <w:rPr>
          <w:bCs/>
          <w:sz w:val="24"/>
          <w:szCs w:val="24"/>
        </w:rPr>
      </w:pPr>
    </w:p>
    <w:p w14:paraId="133E75CB" w14:textId="07DB9F7D" w:rsidR="00164792" w:rsidRDefault="00164792" w:rsidP="00687445">
      <w:pPr>
        <w:spacing w:after="0" w:line="240" w:lineRule="auto"/>
        <w:jc w:val="both"/>
        <w:rPr>
          <w:bCs/>
          <w:sz w:val="24"/>
          <w:szCs w:val="24"/>
        </w:rPr>
      </w:pPr>
      <w:r>
        <w:rPr>
          <w:bCs/>
          <w:sz w:val="24"/>
          <w:szCs w:val="24"/>
        </w:rPr>
        <w:t>The Court of Appeals has held that “[t]he central question, however, is whether the work was useful and necessary in advancing the litigation to its successful conclusion. Moreover, ‘[a] court should compensate the plaintiff for the time his attorney reasonably spent in achieving the favorable outcome, even if ‘the plaintiff failed to prevail on every contention.’”</w:t>
      </w:r>
      <w:r>
        <w:rPr>
          <w:rStyle w:val="FootnoteReference"/>
          <w:bCs/>
          <w:sz w:val="24"/>
          <w:szCs w:val="24"/>
        </w:rPr>
        <w:footnoteReference w:id="59"/>
      </w:r>
      <w:r>
        <w:rPr>
          <w:bCs/>
          <w:sz w:val="24"/>
          <w:szCs w:val="24"/>
        </w:rPr>
        <w:t xml:space="preserve"> </w:t>
      </w:r>
      <w:r w:rsidR="00A06135">
        <w:rPr>
          <w:bCs/>
          <w:sz w:val="24"/>
          <w:szCs w:val="24"/>
        </w:rPr>
        <w:t>Both</w:t>
      </w:r>
      <w:r>
        <w:rPr>
          <w:bCs/>
          <w:sz w:val="24"/>
          <w:szCs w:val="24"/>
        </w:rPr>
        <w:t xml:space="preserve"> courts made a distinction between claims based on entirely different legal theories, rather than an unsuccessful motion that was “closely intertwined” with the work that ultimately led to the prevailing party’s victory.</w:t>
      </w:r>
      <w:r>
        <w:rPr>
          <w:rStyle w:val="FootnoteReference"/>
          <w:bCs/>
          <w:sz w:val="24"/>
          <w:szCs w:val="24"/>
        </w:rPr>
        <w:footnoteReference w:id="60"/>
      </w:r>
    </w:p>
    <w:p w14:paraId="394BEEE2" w14:textId="77777777" w:rsidR="00164792" w:rsidRDefault="00164792" w:rsidP="00687445">
      <w:pPr>
        <w:spacing w:after="0" w:line="240" w:lineRule="auto"/>
        <w:jc w:val="both"/>
        <w:rPr>
          <w:bCs/>
          <w:sz w:val="24"/>
          <w:szCs w:val="24"/>
        </w:rPr>
      </w:pPr>
    </w:p>
    <w:p w14:paraId="056BA4EC" w14:textId="763C28F2" w:rsidR="00687445" w:rsidRPr="004C47F6" w:rsidRDefault="00687445" w:rsidP="0014550F">
      <w:pPr>
        <w:spacing w:after="0" w:line="240" w:lineRule="auto"/>
        <w:ind w:firstLine="720"/>
        <w:jc w:val="both"/>
        <w:rPr>
          <w:bCs/>
          <w:sz w:val="24"/>
          <w:szCs w:val="24"/>
        </w:rPr>
      </w:pPr>
      <w:r>
        <w:rPr>
          <w:bCs/>
          <w:sz w:val="24"/>
          <w:szCs w:val="24"/>
        </w:rPr>
        <w:t>The Arbitrator thoroughly reviewed AFSCME’s contemporaneous documentation of billed hours, the Fitzpatrick Matrix used to determine reasonable attorney fees in the District, and the generous flat rate discount AFSCME had already applied.</w:t>
      </w:r>
      <w:r>
        <w:rPr>
          <w:rStyle w:val="FootnoteReference"/>
          <w:bCs/>
          <w:sz w:val="24"/>
          <w:szCs w:val="24"/>
        </w:rPr>
        <w:footnoteReference w:id="61"/>
      </w:r>
      <w:r>
        <w:rPr>
          <w:bCs/>
          <w:sz w:val="24"/>
          <w:szCs w:val="24"/>
        </w:rPr>
        <w:t xml:space="preserve"> </w:t>
      </w:r>
      <w:r w:rsidR="00684E71">
        <w:rPr>
          <w:bCs/>
          <w:sz w:val="24"/>
          <w:szCs w:val="24"/>
        </w:rPr>
        <w:t>The Arbitrator further considered and rejected OAG’s argument that AFSCME should not receive attorney fees in connection with work performed on the motion to quash</w:t>
      </w:r>
      <w:r w:rsidR="007A07AB">
        <w:rPr>
          <w:bCs/>
          <w:sz w:val="24"/>
          <w:szCs w:val="24"/>
        </w:rPr>
        <w:t xml:space="preserve"> </w:t>
      </w:r>
      <w:r w:rsidR="00684E71">
        <w:rPr>
          <w:bCs/>
          <w:sz w:val="24"/>
          <w:szCs w:val="24"/>
        </w:rPr>
        <w:t>in the Superior Court.</w:t>
      </w:r>
      <w:r w:rsidR="00684E71">
        <w:rPr>
          <w:rStyle w:val="FootnoteReference"/>
          <w:bCs/>
          <w:sz w:val="24"/>
          <w:szCs w:val="24"/>
        </w:rPr>
        <w:footnoteReference w:id="62"/>
      </w:r>
      <w:r w:rsidR="00684E71">
        <w:rPr>
          <w:bCs/>
          <w:sz w:val="24"/>
          <w:szCs w:val="24"/>
        </w:rPr>
        <w:t xml:space="preserve"> </w:t>
      </w:r>
      <w:r w:rsidR="003D3A32">
        <w:rPr>
          <w:bCs/>
          <w:sz w:val="24"/>
          <w:szCs w:val="24"/>
        </w:rPr>
        <w:t>The Arbitrator reasonably rejected OAG’s argument that because the motion to quash was unsuccessful, it was a “wholly unrelated” unsuccessful claim.</w:t>
      </w:r>
      <w:r w:rsidR="003D3A32">
        <w:rPr>
          <w:rStyle w:val="FootnoteReference"/>
          <w:bCs/>
          <w:sz w:val="24"/>
          <w:szCs w:val="24"/>
        </w:rPr>
        <w:footnoteReference w:id="63"/>
      </w:r>
      <w:r w:rsidR="003D3A32">
        <w:rPr>
          <w:bCs/>
          <w:sz w:val="24"/>
          <w:szCs w:val="24"/>
        </w:rPr>
        <w:t xml:space="preserve"> The Arbitrator noted that the argument amounted to “claiming that time spent on an objection during a hearing that was then denied should not be counted as reasonable time.</w:t>
      </w:r>
      <w:r w:rsidR="003D3A32">
        <w:rPr>
          <w:rStyle w:val="FootnoteReference"/>
          <w:bCs/>
          <w:sz w:val="24"/>
          <w:szCs w:val="24"/>
        </w:rPr>
        <w:footnoteReference w:id="64"/>
      </w:r>
      <w:r w:rsidR="003D3A32">
        <w:rPr>
          <w:bCs/>
          <w:sz w:val="24"/>
          <w:szCs w:val="24"/>
        </w:rPr>
        <w:t xml:space="preserve"> </w:t>
      </w:r>
      <w:r w:rsidR="003D3A32" w:rsidRPr="009A0CF4">
        <w:rPr>
          <w:bCs/>
          <w:sz w:val="24"/>
          <w:szCs w:val="24"/>
        </w:rPr>
        <w:t xml:space="preserve">The Board will not substitute its own interpretation or that of the Agency for that of </w:t>
      </w:r>
      <w:r w:rsidR="003D3A32">
        <w:rPr>
          <w:bCs/>
          <w:sz w:val="24"/>
          <w:szCs w:val="24"/>
        </w:rPr>
        <w:t>a</w:t>
      </w:r>
      <w:r w:rsidR="003D3A32" w:rsidRPr="009A0CF4">
        <w:rPr>
          <w:bCs/>
          <w:sz w:val="24"/>
          <w:szCs w:val="24"/>
        </w:rPr>
        <w:t xml:space="preserve"> duly designated arbitrator</w:t>
      </w:r>
      <w:r w:rsidR="003D3A32">
        <w:rPr>
          <w:bCs/>
          <w:sz w:val="24"/>
          <w:szCs w:val="24"/>
        </w:rPr>
        <w:t>.</w:t>
      </w:r>
      <w:r w:rsidR="003D3A32">
        <w:rPr>
          <w:rStyle w:val="FootnoteReference"/>
          <w:bCs/>
          <w:sz w:val="24"/>
          <w:szCs w:val="24"/>
        </w:rPr>
        <w:footnoteReference w:id="65"/>
      </w:r>
      <w:r w:rsidR="003D3A32">
        <w:rPr>
          <w:bCs/>
          <w:sz w:val="24"/>
          <w:szCs w:val="24"/>
        </w:rPr>
        <w:t xml:space="preserve"> The Board concludes that the hours spent on AFSCME’s motion to quash did not constitute an unreasonable reimbursement of a distinct claim based on a distinct legal </w:t>
      </w:r>
      <w:r w:rsidR="003D3A32">
        <w:rPr>
          <w:bCs/>
          <w:sz w:val="24"/>
          <w:szCs w:val="24"/>
        </w:rPr>
        <w:lastRenderedPageBreak/>
        <w:t>theory.</w:t>
      </w:r>
      <w:r w:rsidR="003D3A32">
        <w:rPr>
          <w:rStyle w:val="FootnoteReference"/>
          <w:bCs/>
          <w:sz w:val="24"/>
          <w:szCs w:val="24"/>
        </w:rPr>
        <w:footnoteReference w:id="66"/>
      </w:r>
      <w:r w:rsidR="008E6C82">
        <w:rPr>
          <w:bCs/>
          <w:sz w:val="24"/>
          <w:szCs w:val="24"/>
        </w:rPr>
        <w:t xml:space="preserve"> </w:t>
      </w:r>
      <w:r>
        <w:rPr>
          <w:bCs/>
          <w:sz w:val="24"/>
          <w:szCs w:val="24"/>
        </w:rPr>
        <w:t>OAG has not met its burden to show applicable law mandating that the Arbitrator arrive at a different result regarding the reasonableness of AFSCME’s requested attorney fees.</w:t>
      </w:r>
    </w:p>
    <w:p w14:paraId="1ACABC41" w14:textId="77777777" w:rsidR="00725BFA" w:rsidRDefault="00725BFA" w:rsidP="00E3063F">
      <w:pPr>
        <w:spacing w:after="0" w:line="240" w:lineRule="auto"/>
        <w:ind w:firstLine="720"/>
        <w:jc w:val="both"/>
        <w:rPr>
          <w:bCs/>
          <w:sz w:val="24"/>
          <w:szCs w:val="24"/>
        </w:rPr>
      </w:pPr>
    </w:p>
    <w:p w14:paraId="5C58FCD4" w14:textId="71F8A490" w:rsidR="006A1B72" w:rsidRPr="00A50ED9" w:rsidRDefault="0069781E" w:rsidP="00E912EE">
      <w:pPr>
        <w:spacing w:after="0" w:line="240" w:lineRule="auto"/>
        <w:ind w:firstLine="720"/>
        <w:jc w:val="both"/>
        <w:rPr>
          <w:bCs/>
          <w:sz w:val="24"/>
          <w:szCs w:val="24"/>
        </w:rPr>
      </w:pPr>
      <w:r>
        <w:rPr>
          <w:bCs/>
          <w:sz w:val="24"/>
          <w:szCs w:val="24"/>
        </w:rPr>
        <w:t>For the foregoing reasons</w:t>
      </w:r>
      <w:r w:rsidR="006A1B72">
        <w:rPr>
          <w:bCs/>
          <w:sz w:val="24"/>
          <w:szCs w:val="24"/>
        </w:rPr>
        <w:t xml:space="preserve">, the Board finds that the </w:t>
      </w:r>
      <w:r w:rsidR="003D5752">
        <w:rPr>
          <w:bCs/>
          <w:sz w:val="24"/>
          <w:szCs w:val="24"/>
        </w:rPr>
        <w:t xml:space="preserve">Fee </w:t>
      </w:r>
      <w:r w:rsidR="006A1B72">
        <w:rPr>
          <w:bCs/>
          <w:sz w:val="24"/>
          <w:szCs w:val="24"/>
        </w:rPr>
        <w:t>Award is not contrary to law.</w:t>
      </w:r>
    </w:p>
    <w:p w14:paraId="3F305294" w14:textId="77777777" w:rsidR="00A43713" w:rsidRDefault="00A43713" w:rsidP="003B30EC">
      <w:pPr>
        <w:pStyle w:val="ListParagraph"/>
        <w:spacing w:after="0" w:line="240" w:lineRule="auto"/>
        <w:ind w:left="1440"/>
        <w:jc w:val="both"/>
        <w:rPr>
          <w:b/>
          <w:sz w:val="24"/>
          <w:szCs w:val="24"/>
        </w:rPr>
      </w:pPr>
    </w:p>
    <w:p w14:paraId="325A8390" w14:textId="5EC79BBE" w:rsidR="003B30EC" w:rsidRDefault="00A43713" w:rsidP="00755EAB">
      <w:pPr>
        <w:pStyle w:val="ListParagraph"/>
        <w:numPr>
          <w:ilvl w:val="1"/>
          <w:numId w:val="1"/>
        </w:numPr>
        <w:spacing w:after="0" w:line="240" w:lineRule="auto"/>
        <w:jc w:val="both"/>
        <w:rPr>
          <w:b/>
          <w:sz w:val="24"/>
          <w:szCs w:val="24"/>
        </w:rPr>
      </w:pPr>
      <w:r>
        <w:rPr>
          <w:b/>
          <w:sz w:val="24"/>
          <w:szCs w:val="24"/>
        </w:rPr>
        <w:t>The Fee Award is not contrary to public policy.</w:t>
      </w:r>
    </w:p>
    <w:p w14:paraId="0D3A2751" w14:textId="4628DED3" w:rsidR="00DE1A07" w:rsidRDefault="00DE1A07" w:rsidP="00DE1A07">
      <w:pPr>
        <w:pStyle w:val="ListParagraph"/>
        <w:spacing w:after="0" w:line="240" w:lineRule="auto"/>
        <w:ind w:left="1440"/>
        <w:jc w:val="both"/>
        <w:rPr>
          <w:b/>
          <w:sz w:val="24"/>
          <w:szCs w:val="24"/>
        </w:rPr>
      </w:pPr>
    </w:p>
    <w:p w14:paraId="3A8E6FD5" w14:textId="7264F7BC" w:rsidR="005532CE" w:rsidRDefault="005532CE" w:rsidP="00FE5ADF">
      <w:pPr>
        <w:spacing w:after="0" w:line="240" w:lineRule="auto"/>
        <w:ind w:firstLine="720"/>
        <w:jc w:val="both"/>
        <w:rPr>
          <w:bCs/>
          <w:sz w:val="24"/>
          <w:szCs w:val="24"/>
        </w:rPr>
      </w:pPr>
      <w:r w:rsidRPr="005532CE">
        <w:rPr>
          <w:bCs/>
          <w:sz w:val="24"/>
          <w:szCs w:val="24"/>
        </w:rPr>
        <w:t>Section 1-605.02(6) of the D.C. Official Code authorizes the Board to set aside an</w:t>
      </w:r>
      <w:r>
        <w:rPr>
          <w:bCs/>
          <w:sz w:val="24"/>
          <w:szCs w:val="24"/>
        </w:rPr>
        <w:t xml:space="preserve"> </w:t>
      </w:r>
      <w:r w:rsidRPr="005532CE">
        <w:rPr>
          <w:bCs/>
          <w:sz w:val="24"/>
          <w:szCs w:val="24"/>
        </w:rPr>
        <w:t>arbitration award if the award “on its face is contrary to law and public policy.” However, the</w:t>
      </w:r>
      <w:r>
        <w:rPr>
          <w:bCs/>
          <w:sz w:val="24"/>
          <w:szCs w:val="24"/>
        </w:rPr>
        <w:t xml:space="preserve"> </w:t>
      </w:r>
      <w:r w:rsidRPr="005532CE">
        <w:rPr>
          <w:bCs/>
          <w:sz w:val="24"/>
          <w:szCs w:val="24"/>
        </w:rPr>
        <w:t>D.C. Court of Appeals has held that the word “and” should be read as “or” in this statutory</w:t>
      </w:r>
      <w:r>
        <w:rPr>
          <w:bCs/>
          <w:sz w:val="24"/>
          <w:szCs w:val="24"/>
        </w:rPr>
        <w:t xml:space="preserve"> </w:t>
      </w:r>
      <w:r w:rsidRPr="005532CE">
        <w:rPr>
          <w:bCs/>
          <w:sz w:val="24"/>
          <w:szCs w:val="24"/>
        </w:rPr>
        <w:t>context.</w:t>
      </w:r>
      <w:r w:rsidR="00FE5ADF">
        <w:rPr>
          <w:rStyle w:val="FootnoteReference"/>
          <w:bCs/>
          <w:sz w:val="24"/>
          <w:szCs w:val="24"/>
        </w:rPr>
        <w:footnoteReference w:id="67"/>
      </w:r>
      <w:r w:rsidRPr="005532CE">
        <w:rPr>
          <w:bCs/>
          <w:sz w:val="24"/>
          <w:szCs w:val="24"/>
        </w:rPr>
        <w:t xml:space="preserve"> As a result, the Board has adopted the court’s interpretation.</w:t>
      </w:r>
    </w:p>
    <w:p w14:paraId="5B2C805F" w14:textId="77777777" w:rsidR="009C1BB7" w:rsidRPr="005532CE" w:rsidRDefault="009C1BB7" w:rsidP="005532CE">
      <w:pPr>
        <w:spacing w:after="0" w:line="240" w:lineRule="auto"/>
        <w:jc w:val="both"/>
        <w:rPr>
          <w:bCs/>
          <w:sz w:val="24"/>
          <w:szCs w:val="24"/>
        </w:rPr>
      </w:pPr>
    </w:p>
    <w:p w14:paraId="3E4F9F36" w14:textId="6E2625B3" w:rsidR="005532CE" w:rsidRDefault="005532CE" w:rsidP="00FE5ADF">
      <w:pPr>
        <w:spacing w:after="0" w:line="240" w:lineRule="auto"/>
        <w:ind w:firstLine="720"/>
        <w:jc w:val="both"/>
        <w:rPr>
          <w:bCs/>
          <w:sz w:val="24"/>
          <w:szCs w:val="24"/>
        </w:rPr>
      </w:pPr>
      <w:r w:rsidRPr="005532CE">
        <w:rPr>
          <w:bCs/>
          <w:sz w:val="24"/>
          <w:szCs w:val="24"/>
        </w:rPr>
        <w:t>Nonetheless, the public policy exception is an “extremely narrow” exception to the rule</w:t>
      </w:r>
      <w:r w:rsidR="00812D85">
        <w:rPr>
          <w:bCs/>
          <w:sz w:val="24"/>
          <w:szCs w:val="24"/>
        </w:rPr>
        <w:t xml:space="preserve"> </w:t>
      </w:r>
      <w:r w:rsidRPr="005532CE">
        <w:rPr>
          <w:bCs/>
          <w:sz w:val="24"/>
          <w:szCs w:val="24"/>
        </w:rPr>
        <w:t>that reviewing bodies must defer to an arbitrator’s interpretation of a contract.</w:t>
      </w:r>
      <w:r w:rsidR="00430025">
        <w:rPr>
          <w:rStyle w:val="FootnoteReference"/>
          <w:bCs/>
          <w:sz w:val="24"/>
          <w:szCs w:val="24"/>
        </w:rPr>
        <w:footnoteReference w:id="68"/>
      </w:r>
      <w:r w:rsidRPr="005532CE">
        <w:rPr>
          <w:bCs/>
          <w:sz w:val="24"/>
          <w:szCs w:val="24"/>
        </w:rPr>
        <w:t xml:space="preserve"> For the Board to</w:t>
      </w:r>
      <w:r w:rsidR="00812D85">
        <w:rPr>
          <w:bCs/>
          <w:sz w:val="24"/>
          <w:szCs w:val="24"/>
        </w:rPr>
        <w:t xml:space="preserve"> </w:t>
      </w:r>
      <w:r w:rsidRPr="005532CE">
        <w:rPr>
          <w:bCs/>
          <w:sz w:val="24"/>
          <w:szCs w:val="24"/>
        </w:rPr>
        <w:t>overturn an award as on its face contrary to public policy, the “public policy alleged to be</w:t>
      </w:r>
      <w:r w:rsidR="00812D85">
        <w:rPr>
          <w:bCs/>
          <w:sz w:val="24"/>
          <w:szCs w:val="24"/>
        </w:rPr>
        <w:t xml:space="preserve"> </w:t>
      </w:r>
      <w:r w:rsidRPr="005532CE">
        <w:rPr>
          <w:bCs/>
          <w:sz w:val="24"/>
          <w:szCs w:val="24"/>
        </w:rPr>
        <w:t>contravened must be well-defined and dominant, and is to be ascertained by reference to the laws</w:t>
      </w:r>
      <w:r w:rsidR="00812D85">
        <w:rPr>
          <w:bCs/>
          <w:sz w:val="24"/>
          <w:szCs w:val="24"/>
        </w:rPr>
        <w:t xml:space="preserve"> </w:t>
      </w:r>
      <w:r w:rsidRPr="005532CE">
        <w:rPr>
          <w:bCs/>
          <w:sz w:val="24"/>
          <w:szCs w:val="24"/>
        </w:rPr>
        <w:t>and legal precedents and not from general considerations of supposed public interests.”</w:t>
      </w:r>
      <w:r w:rsidR="00BA779C">
        <w:rPr>
          <w:rStyle w:val="FootnoteReference"/>
          <w:bCs/>
          <w:sz w:val="24"/>
          <w:szCs w:val="24"/>
        </w:rPr>
        <w:footnoteReference w:id="69"/>
      </w:r>
      <w:r w:rsidRPr="005532CE">
        <w:rPr>
          <w:bCs/>
          <w:sz w:val="24"/>
          <w:szCs w:val="24"/>
        </w:rPr>
        <w:t xml:space="preserve"> “[T]he</w:t>
      </w:r>
      <w:r w:rsidR="00812D85">
        <w:rPr>
          <w:bCs/>
          <w:sz w:val="24"/>
          <w:szCs w:val="24"/>
        </w:rPr>
        <w:t xml:space="preserve"> </w:t>
      </w:r>
      <w:r w:rsidRPr="005532CE">
        <w:rPr>
          <w:bCs/>
          <w:sz w:val="24"/>
          <w:szCs w:val="24"/>
        </w:rPr>
        <w:t>exception is designed to be narrow so as to limit potentially intrusive judicial review of</w:t>
      </w:r>
      <w:r w:rsidR="00812D85">
        <w:rPr>
          <w:bCs/>
          <w:sz w:val="24"/>
          <w:szCs w:val="24"/>
        </w:rPr>
        <w:t xml:space="preserve"> </w:t>
      </w:r>
      <w:r w:rsidRPr="005532CE">
        <w:rPr>
          <w:bCs/>
          <w:sz w:val="24"/>
          <w:szCs w:val="24"/>
        </w:rPr>
        <w:t>arbitration awards under the guise of ‘public policy.”’</w:t>
      </w:r>
      <w:r w:rsidR="00D0224C">
        <w:rPr>
          <w:rStyle w:val="FootnoteReference"/>
          <w:bCs/>
          <w:sz w:val="24"/>
          <w:szCs w:val="24"/>
        </w:rPr>
        <w:footnoteReference w:id="70"/>
      </w:r>
    </w:p>
    <w:p w14:paraId="62446B3C" w14:textId="77777777" w:rsidR="005532CE" w:rsidRDefault="005532CE" w:rsidP="001B2E41">
      <w:pPr>
        <w:spacing w:after="0" w:line="240" w:lineRule="auto"/>
        <w:ind w:firstLine="720"/>
        <w:jc w:val="both"/>
        <w:rPr>
          <w:bCs/>
          <w:sz w:val="24"/>
          <w:szCs w:val="24"/>
        </w:rPr>
      </w:pPr>
    </w:p>
    <w:p w14:paraId="10B97129" w14:textId="172E0A28" w:rsidR="00904C05" w:rsidRDefault="000321DC" w:rsidP="001B2E41">
      <w:pPr>
        <w:spacing w:after="0" w:line="240" w:lineRule="auto"/>
        <w:ind w:firstLine="720"/>
        <w:jc w:val="both"/>
        <w:rPr>
          <w:bCs/>
          <w:sz w:val="24"/>
          <w:szCs w:val="24"/>
        </w:rPr>
      </w:pPr>
      <w:r>
        <w:rPr>
          <w:bCs/>
          <w:sz w:val="24"/>
          <w:szCs w:val="24"/>
        </w:rPr>
        <w:t xml:space="preserve">OAG generally asserts that the </w:t>
      </w:r>
      <w:r w:rsidR="00FD255A">
        <w:rPr>
          <w:bCs/>
          <w:sz w:val="24"/>
          <w:szCs w:val="24"/>
        </w:rPr>
        <w:t>Arbitrator’s application of the BPA is contrary to public policy.</w:t>
      </w:r>
      <w:r w:rsidR="00FD255A">
        <w:rPr>
          <w:rStyle w:val="FootnoteReference"/>
          <w:bCs/>
          <w:sz w:val="24"/>
          <w:szCs w:val="24"/>
        </w:rPr>
        <w:footnoteReference w:id="71"/>
      </w:r>
      <w:r w:rsidR="0045473B">
        <w:rPr>
          <w:bCs/>
          <w:sz w:val="24"/>
          <w:szCs w:val="24"/>
        </w:rPr>
        <w:t xml:space="preserve"> However, OAG does not </w:t>
      </w:r>
      <w:r w:rsidR="00CC3C34">
        <w:rPr>
          <w:bCs/>
          <w:sz w:val="24"/>
          <w:szCs w:val="24"/>
        </w:rPr>
        <w:t xml:space="preserve">specifically </w:t>
      </w:r>
      <w:r w:rsidR="0045473B">
        <w:rPr>
          <w:bCs/>
          <w:sz w:val="24"/>
          <w:szCs w:val="24"/>
        </w:rPr>
        <w:t xml:space="preserve">allege </w:t>
      </w:r>
      <w:r w:rsidR="00CC3C34">
        <w:rPr>
          <w:bCs/>
          <w:sz w:val="24"/>
          <w:szCs w:val="24"/>
        </w:rPr>
        <w:t xml:space="preserve">a violation of </w:t>
      </w:r>
      <w:r w:rsidR="0045473B">
        <w:rPr>
          <w:bCs/>
          <w:sz w:val="24"/>
          <w:szCs w:val="24"/>
        </w:rPr>
        <w:t xml:space="preserve">any </w:t>
      </w:r>
      <w:r w:rsidR="00E9312E">
        <w:rPr>
          <w:bCs/>
          <w:sz w:val="24"/>
          <w:szCs w:val="24"/>
        </w:rPr>
        <w:t xml:space="preserve">well-defined and dominant public </w:t>
      </w:r>
      <w:r w:rsidR="006A141A">
        <w:rPr>
          <w:bCs/>
          <w:sz w:val="24"/>
          <w:szCs w:val="24"/>
        </w:rPr>
        <w:t>policy</w:t>
      </w:r>
      <w:r w:rsidR="00CC3C34">
        <w:rPr>
          <w:bCs/>
          <w:sz w:val="24"/>
          <w:szCs w:val="24"/>
        </w:rPr>
        <w:t xml:space="preserve"> </w:t>
      </w:r>
      <w:r w:rsidR="00CC3C34" w:rsidRPr="00CC3C34">
        <w:rPr>
          <w:bCs/>
          <w:sz w:val="24"/>
          <w:szCs w:val="24"/>
        </w:rPr>
        <w:t xml:space="preserve">backed by legal precedent </w:t>
      </w:r>
      <w:r w:rsidR="00CC3C34">
        <w:rPr>
          <w:bCs/>
          <w:sz w:val="24"/>
          <w:szCs w:val="24"/>
        </w:rPr>
        <w:t>which would</w:t>
      </w:r>
      <w:r w:rsidR="00CC3C34" w:rsidRPr="00CC3C34">
        <w:rPr>
          <w:bCs/>
          <w:sz w:val="24"/>
          <w:szCs w:val="24"/>
        </w:rPr>
        <w:t xml:space="preserve"> mandate a different result.</w:t>
      </w:r>
      <w:r w:rsidR="00182F28">
        <w:rPr>
          <w:rStyle w:val="FootnoteReference"/>
          <w:bCs/>
          <w:sz w:val="24"/>
          <w:szCs w:val="24"/>
        </w:rPr>
        <w:footnoteReference w:id="72"/>
      </w:r>
      <w:r w:rsidR="00A36E2B">
        <w:rPr>
          <w:bCs/>
          <w:sz w:val="24"/>
          <w:szCs w:val="24"/>
        </w:rPr>
        <w:t xml:space="preserve"> </w:t>
      </w:r>
    </w:p>
    <w:p w14:paraId="68C601E6" w14:textId="77777777" w:rsidR="00D75D65" w:rsidRDefault="00D75D65" w:rsidP="001B2E41">
      <w:pPr>
        <w:spacing w:after="0" w:line="240" w:lineRule="auto"/>
        <w:ind w:firstLine="720"/>
        <w:jc w:val="both"/>
        <w:rPr>
          <w:bCs/>
          <w:sz w:val="24"/>
          <w:szCs w:val="24"/>
        </w:rPr>
      </w:pPr>
    </w:p>
    <w:p w14:paraId="332FC2BC" w14:textId="1425C69A" w:rsidR="00D75D65" w:rsidRPr="000321DC" w:rsidRDefault="00D75D65" w:rsidP="001B2E41">
      <w:pPr>
        <w:spacing w:after="0" w:line="240" w:lineRule="auto"/>
        <w:ind w:firstLine="720"/>
        <w:jc w:val="both"/>
        <w:rPr>
          <w:bCs/>
          <w:sz w:val="24"/>
          <w:szCs w:val="24"/>
        </w:rPr>
      </w:pPr>
      <w:r>
        <w:rPr>
          <w:bCs/>
          <w:sz w:val="24"/>
          <w:szCs w:val="24"/>
        </w:rPr>
        <w:t xml:space="preserve">Therefore, the Board finds that the </w:t>
      </w:r>
      <w:r w:rsidR="007E1D94">
        <w:rPr>
          <w:bCs/>
          <w:sz w:val="24"/>
          <w:szCs w:val="24"/>
        </w:rPr>
        <w:t xml:space="preserve">Fee </w:t>
      </w:r>
      <w:r>
        <w:rPr>
          <w:bCs/>
          <w:sz w:val="24"/>
          <w:szCs w:val="24"/>
        </w:rPr>
        <w:t>Award is not contrary to public policy.</w:t>
      </w:r>
    </w:p>
    <w:p w14:paraId="1501CB16" w14:textId="77777777" w:rsidR="00904C05" w:rsidRDefault="00904C05" w:rsidP="00DE1A07">
      <w:pPr>
        <w:pStyle w:val="ListParagraph"/>
        <w:spacing w:after="0" w:line="240" w:lineRule="auto"/>
        <w:ind w:left="1440"/>
        <w:jc w:val="both"/>
        <w:rPr>
          <w:b/>
          <w:sz w:val="24"/>
          <w:szCs w:val="24"/>
        </w:rPr>
      </w:pPr>
    </w:p>
    <w:p w14:paraId="162AE68B" w14:textId="54794BBB" w:rsidR="00DE1A07" w:rsidRPr="008D1012" w:rsidRDefault="00DE1A07" w:rsidP="00755EAB">
      <w:pPr>
        <w:pStyle w:val="ListParagraph"/>
        <w:numPr>
          <w:ilvl w:val="1"/>
          <w:numId w:val="1"/>
        </w:numPr>
        <w:spacing w:after="0" w:line="240" w:lineRule="auto"/>
        <w:jc w:val="both"/>
        <w:rPr>
          <w:b/>
          <w:sz w:val="24"/>
          <w:szCs w:val="24"/>
        </w:rPr>
      </w:pPr>
      <w:r>
        <w:rPr>
          <w:b/>
          <w:sz w:val="24"/>
          <w:szCs w:val="24"/>
        </w:rPr>
        <w:t xml:space="preserve">OAG’s </w:t>
      </w:r>
      <w:r w:rsidR="00904C05">
        <w:rPr>
          <w:b/>
          <w:sz w:val="24"/>
          <w:szCs w:val="24"/>
        </w:rPr>
        <w:t>assertion that the Arbitrator lacks jurisdiction to award attorney fees is untimely</w:t>
      </w:r>
      <w:r w:rsidR="004C5806">
        <w:rPr>
          <w:b/>
          <w:sz w:val="24"/>
          <w:szCs w:val="24"/>
        </w:rPr>
        <w:t xml:space="preserve"> and otherwise unpersuasive</w:t>
      </w:r>
      <w:r w:rsidR="00904C05">
        <w:rPr>
          <w:b/>
          <w:sz w:val="24"/>
          <w:szCs w:val="24"/>
        </w:rPr>
        <w:t>.</w:t>
      </w:r>
    </w:p>
    <w:p w14:paraId="156BAD67" w14:textId="77777777" w:rsidR="00FB124F" w:rsidRDefault="00FB124F" w:rsidP="005A038B">
      <w:pPr>
        <w:spacing w:after="0" w:line="240" w:lineRule="auto"/>
        <w:ind w:firstLine="720"/>
        <w:jc w:val="both"/>
        <w:rPr>
          <w:sz w:val="24"/>
          <w:szCs w:val="24"/>
        </w:rPr>
      </w:pPr>
    </w:p>
    <w:p w14:paraId="414C948D" w14:textId="32173708" w:rsidR="004C5806" w:rsidRDefault="004C5806" w:rsidP="004C5806">
      <w:pPr>
        <w:spacing w:after="0"/>
        <w:ind w:firstLine="720"/>
        <w:jc w:val="both"/>
        <w:rPr>
          <w:bCs/>
          <w:sz w:val="24"/>
          <w:szCs w:val="24"/>
        </w:rPr>
      </w:pPr>
      <w:r>
        <w:rPr>
          <w:bCs/>
          <w:sz w:val="24"/>
          <w:szCs w:val="24"/>
        </w:rPr>
        <w:t xml:space="preserve">OAG argues that the Arbitrator exceeded his jurisdiction by awarding attorney fees despite the parties’ collective bargaining agreement (CBA) stating that “each party shall be responsible </w:t>
      </w:r>
      <w:r>
        <w:rPr>
          <w:bCs/>
          <w:sz w:val="24"/>
          <w:szCs w:val="24"/>
        </w:rPr>
        <w:lastRenderedPageBreak/>
        <w:t>for compensating its own representatives and witnesses.”</w:t>
      </w:r>
      <w:r>
        <w:rPr>
          <w:rStyle w:val="FootnoteReference"/>
          <w:bCs/>
          <w:sz w:val="24"/>
          <w:szCs w:val="24"/>
        </w:rPr>
        <w:footnoteReference w:id="73"/>
      </w:r>
      <w:r>
        <w:rPr>
          <w:bCs/>
          <w:sz w:val="24"/>
          <w:szCs w:val="24"/>
        </w:rPr>
        <w:t xml:space="preserve"> OAG’s claim regarding the Arbitrator’s jurisdiction to award attorney fees is untimely.</w:t>
      </w:r>
      <w:r>
        <w:rPr>
          <w:rStyle w:val="FootnoteReference"/>
          <w:bCs/>
          <w:sz w:val="24"/>
          <w:szCs w:val="24"/>
        </w:rPr>
        <w:footnoteReference w:id="74"/>
      </w:r>
      <w:r>
        <w:rPr>
          <w:bCs/>
          <w:sz w:val="24"/>
          <w:szCs w:val="24"/>
        </w:rPr>
        <w:t xml:space="preserve"> The Merits Award explicitly stated that the Arbitrator would retain jurisdiction for the purpose of resolving the issue of attorney fees.</w:t>
      </w:r>
      <w:r>
        <w:rPr>
          <w:rStyle w:val="FootnoteReference"/>
          <w:bCs/>
          <w:sz w:val="24"/>
          <w:szCs w:val="24"/>
        </w:rPr>
        <w:footnoteReference w:id="75"/>
      </w:r>
      <w:r>
        <w:rPr>
          <w:bCs/>
          <w:sz w:val="24"/>
          <w:szCs w:val="24"/>
        </w:rPr>
        <w:t xml:space="preserve"> OAG filed an arbitration review request regarding the Merits Award but did not raise the issue of the Arbitrator’s authority to award attorney fees.</w:t>
      </w:r>
      <w:r>
        <w:rPr>
          <w:rStyle w:val="FootnoteReference"/>
          <w:bCs/>
          <w:sz w:val="24"/>
          <w:szCs w:val="24"/>
        </w:rPr>
        <w:footnoteReference w:id="76"/>
      </w:r>
      <w:r>
        <w:rPr>
          <w:bCs/>
          <w:sz w:val="24"/>
          <w:szCs w:val="24"/>
        </w:rPr>
        <w:t xml:space="preserve"> The issuance of a fee award was foreseeable, as the Merits Award’s remedy clearly included the contemplation of the Arbitrator awarding attorney fees to AFSCME. OAG had the opportunity to present its jurisdictional argument when it requested to overturn the Merits Award, which was served to the parties nearly two (2) years ago. </w:t>
      </w:r>
      <w:r w:rsidR="0044480C">
        <w:rPr>
          <w:bCs/>
          <w:sz w:val="24"/>
          <w:szCs w:val="24"/>
        </w:rPr>
        <w:t>Therefore, the Board finds that OAG’s request to overturn the Fee Award on the grounds that the Arbitrator exceeded his jurisdiction is untimely.</w:t>
      </w:r>
    </w:p>
    <w:p w14:paraId="31EBC7C1" w14:textId="77777777" w:rsidR="004C5806" w:rsidRDefault="004C5806" w:rsidP="004C5806">
      <w:pPr>
        <w:spacing w:after="0"/>
        <w:ind w:firstLine="720"/>
        <w:jc w:val="both"/>
        <w:rPr>
          <w:bCs/>
          <w:sz w:val="24"/>
          <w:szCs w:val="24"/>
        </w:rPr>
      </w:pPr>
    </w:p>
    <w:p w14:paraId="613426B3" w14:textId="72506E49" w:rsidR="005F7CD0" w:rsidRDefault="0044480C" w:rsidP="00086EDF">
      <w:pPr>
        <w:spacing w:after="0"/>
        <w:ind w:firstLine="720"/>
        <w:jc w:val="both"/>
        <w:rPr>
          <w:bCs/>
          <w:sz w:val="24"/>
          <w:szCs w:val="24"/>
        </w:rPr>
      </w:pPr>
      <w:r>
        <w:rPr>
          <w:bCs/>
          <w:sz w:val="24"/>
          <w:szCs w:val="24"/>
        </w:rPr>
        <w:t xml:space="preserve">Notwithstanding untimeliness, </w:t>
      </w:r>
      <w:r w:rsidR="001B2E41">
        <w:rPr>
          <w:bCs/>
          <w:sz w:val="24"/>
          <w:szCs w:val="24"/>
        </w:rPr>
        <w:t>OAG</w:t>
      </w:r>
      <w:r w:rsidR="00775CD3">
        <w:rPr>
          <w:bCs/>
          <w:sz w:val="24"/>
          <w:szCs w:val="24"/>
        </w:rPr>
        <w:t xml:space="preserve"> </w:t>
      </w:r>
      <w:r w:rsidR="001B2E41">
        <w:rPr>
          <w:bCs/>
          <w:sz w:val="24"/>
          <w:szCs w:val="24"/>
        </w:rPr>
        <w:t xml:space="preserve">argues that </w:t>
      </w:r>
      <w:r w:rsidR="00FB4D66">
        <w:rPr>
          <w:bCs/>
          <w:sz w:val="24"/>
          <w:szCs w:val="24"/>
        </w:rPr>
        <w:t xml:space="preserve">the Arbitrator </w:t>
      </w:r>
      <w:r w:rsidR="00730091">
        <w:rPr>
          <w:bCs/>
          <w:sz w:val="24"/>
          <w:szCs w:val="24"/>
        </w:rPr>
        <w:t xml:space="preserve">did not have the authority to </w:t>
      </w:r>
      <w:r w:rsidR="00021E4A">
        <w:rPr>
          <w:bCs/>
          <w:sz w:val="24"/>
          <w:szCs w:val="24"/>
        </w:rPr>
        <w:t xml:space="preserve">grant attorney fees </w:t>
      </w:r>
      <w:r w:rsidR="001D5EDA">
        <w:rPr>
          <w:bCs/>
          <w:sz w:val="24"/>
          <w:szCs w:val="24"/>
        </w:rPr>
        <w:t xml:space="preserve">pursuant to the BPA because of the </w:t>
      </w:r>
      <w:r w:rsidR="0071284A">
        <w:rPr>
          <w:bCs/>
          <w:sz w:val="24"/>
          <w:szCs w:val="24"/>
        </w:rPr>
        <w:t>language of the parties’ CBA.</w:t>
      </w:r>
      <w:r w:rsidR="002D00B0">
        <w:rPr>
          <w:rStyle w:val="FootnoteReference"/>
          <w:bCs/>
          <w:sz w:val="24"/>
          <w:szCs w:val="24"/>
        </w:rPr>
        <w:footnoteReference w:id="77"/>
      </w:r>
      <w:r w:rsidR="006653E2">
        <w:rPr>
          <w:bCs/>
          <w:sz w:val="24"/>
          <w:szCs w:val="24"/>
        </w:rPr>
        <w:t xml:space="preserve"> </w:t>
      </w:r>
      <w:r w:rsidR="00C61BC4">
        <w:rPr>
          <w:bCs/>
          <w:sz w:val="24"/>
          <w:szCs w:val="24"/>
        </w:rPr>
        <w:t xml:space="preserve">While the Board has affirmed arbitration awards that apply the BPA, OAG asserts that </w:t>
      </w:r>
      <w:r w:rsidR="00CE5670">
        <w:rPr>
          <w:bCs/>
          <w:sz w:val="24"/>
          <w:szCs w:val="24"/>
        </w:rPr>
        <w:t xml:space="preserve">those cases concerned </w:t>
      </w:r>
      <w:r w:rsidR="00143BE1">
        <w:rPr>
          <w:bCs/>
          <w:sz w:val="24"/>
          <w:szCs w:val="24"/>
        </w:rPr>
        <w:t xml:space="preserve">CBAs that were silent on the issue of attorney fees, </w:t>
      </w:r>
      <w:r w:rsidR="00D70026">
        <w:rPr>
          <w:bCs/>
          <w:sz w:val="24"/>
          <w:szCs w:val="24"/>
        </w:rPr>
        <w:t>while the parties’ CBA here “expressly provides that parties pay their own representative’s fees.”</w:t>
      </w:r>
      <w:r w:rsidR="00D70026">
        <w:rPr>
          <w:rStyle w:val="FootnoteReference"/>
          <w:bCs/>
          <w:sz w:val="24"/>
          <w:szCs w:val="24"/>
        </w:rPr>
        <w:footnoteReference w:id="78"/>
      </w:r>
      <w:r w:rsidR="00D70026">
        <w:rPr>
          <w:bCs/>
          <w:sz w:val="24"/>
          <w:szCs w:val="24"/>
        </w:rPr>
        <w:t xml:space="preserve"> </w:t>
      </w:r>
      <w:r w:rsidR="00A55303">
        <w:rPr>
          <w:bCs/>
          <w:sz w:val="24"/>
          <w:szCs w:val="24"/>
        </w:rPr>
        <w:t xml:space="preserve">The Arbitrator </w:t>
      </w:r>
      <w:r w:rsidR="005B12D2">
        <w:rPr>
          <w:bCs/>
          <w:sz w:val="24"/>
          <w:szCs w:val="24"/>
        </w:rPr>
        <w:t xml:space="preserve">found that this </w:t>
      </w:r>
      <w:r w:rsidR="00D5605B">
        <w:rPr>
          <w:bCs/>
          <w:sz w:val="24"/>
          <w:szCs w:val="24"/>
        </w:rPr>
        <w:t xml:space="preserve">clause </w:t>
      </w:r>
      <w:r w:rsidR="000316C2">
        <w:rPr>
          <w:bCs/>
          <w:sz w:val="24"/>
          <w:szCs w:val="24"/>
        </w:rPr>
        <w:t xml:space="preserve">did not constitute a clear and unmistakable waiver of </w:t>
      </w:r>
      <w:r w:rsidR="00206349">
        <w:rPr>
          <w:bCs/>
          <w:sz w:val="24"/>
          <w:szCs w:val="24"/>
        </w:rPr>
        <w:t>the statutory rights afforded by the BPA.</w:t>
      </w:r>
      <w:r w:rsidR="0091736F">
        <w:rPr>
          <w:rStyle w:val="FootnoteReference"/>
          <w:bCs/>
          <w:sz w:val="24"/>
          <w:szCs w:val="24"/>
        </w:rPr>
        <w:footnoteReference w:id="79"/>
      </w:r>
      <w:r w:rsidR="00E4338D">
        <w:rPr>
          <w:bCs/>
          <w:sz w:val="24"/>
          <w:szCs w:val="24"/>
        </w:rPr>
        <w:t xml:space="preserve"> The Arbitrator noted that </w:t>
      </w:r>
      <w:r w:rsidR="00BC695A">
        <w:rPr>
          <w:bCs/>
          <w:sz w:val="24"/>
          <w:szCs w:val="24"/>
        </w:rPr>
        <w:t xml:space="preserve">the cited section of the CBA, entitled “Expense of the Arbitrator,” addressed </w:t>
      </w:r>
      <w:r w:rsidR="004D4192">
        <w:rPr>
          <w:bCs/>
          <w:sz w:val="24"/>
          <w:szCs w:val="24"/>
        </w:rPr>
        <w:t xml:space="preserve">the terms on which an arbitrator is compensated rather than the terms for compensating the parties’ </w:t>
      </w:r>
      <w:r w:rsidR="00636FDE">
        <w:rPr>
          <w:bCs/>
          <w:sz w:val="24"/>
          <w:szCs w:val="24"/>
        </w:rPr>
        <w:t>attorneys.</w:t>
      </w:r>
      <w:r w:rsidR="00636FDE">
        <w:rPr>
          <w:rStyle w:val="FootnoteReference"/>
          <w:bCs/>
          <w:sz w:val="24"/>
          <w:szCs w:val="24"/>
        </w:rPr>
        <w:footnoteReference w:id="80"/>
      </w:r>
      <w:r w:rsidR="00BC036B">
        <w:rPr>
          <w:bCs/>
          <w:sz w:val="24"/>
          <w:szCs w:val="24"/>
        </w:rPr>
        <w:t xml:space="preserve"> The Arbitrator </w:t>
      </w:r>
      <w:r w:rsidR="00227A11">
        <w:rPr>
          <w:bCs/>
          <w:sz w:val="24"/>
          <w:szCs w:val="24"/>
        </w:rPr>
        <w:t xml:space="preserve">determined that the language from Article 22, Section 7 of the parties’ CBA constituted boilerplate, mechanical language </w:t>
      </w:r>
      <w:r w:rsidR="007930FD">
        <w:rPr>
          <w:bCs/>
          <w:sz w:val="24"/>
          <w:szCs w:val="24"/>
        </w:rPr>
        <w:t>that made clear “that the CBA neither creates a ‘loser pays’ system for compensating the arbitrator and/or paying the costs of arbitration nor creates a system whereby one or the other parties pay such costs based on some other factor such as which party initiated the grievance or manages the arbitration system.”</w:t>
      </w:r>
      <w:r w:rsidR="007930FD">
        <w:rPr>
          <w:rStyle w:val="FootnoteReference"/>
          <w:bCs/>
          <w:sz w:val="24"/>
          <w:szCs w:val="24"/>
        </w:rPr>
        <w:footnoteReference w:id="81"/>
      </w:r>
      <w:r w:rsidR="007930FD">
        <w:rPr>
          <w:bCs/>
          <w:sz w:val="24"/>
          <w:szCs w:val="24"/>
        </w:rPr>
        <w:t xml:space="preserve"> The Arbitrator further determined that </w:t>
      </w:r>
      <w:r w:rsidR="0084083B">
        <w:rPr>
          <w:bCs/>
          <w:sz w:val="24"/>
          <w:szCs w:val="24"/>
        </w:rPr>
        <w:t>there was no evidence indicating the parties intended that language to negate the BPA, noting that while parties to a CBA may negotiate away a statutory right, doing so requires “</w:t>
      </w:r>
      <w:r w:rsidR="005D0E6A">
        <w:rPr>
          <w:bCs/>
          <w:sz w:val="24"/>
          <w:szCs w:val="24"/>
        </w:rPr>
        <w:t>clear and affirmative evidence.”</w:t>
      </w:r>
      <w:r w:rsidR="005D0E6A">
        <w:rPr>
          <w:rStyle w:val="FootnoteReference"/>
          <w:bCs/>
          <w:sz w:val="24"/>
          <w:szCs w:val="24"/>
        </w:rPr>
        <w:footnoteReference w:id="82"/>
      </w:r>
    </w:p>
    <w:p w14:paraId="53272566" w14:textId="77777777" w:rsidR="00334435" w:rsidRDefault="00334435" w:rsidP="00086EDF">
      <w:pPr>
        <w:spacing w:after="0"/>
        <w:ind w:firstLine="720"/>
        <w:jc w:val="both"/>
        <w:rPr>
          <w:bCs/>
          <w:sz w:val="24"/>
          <w:szCs w:val="24"/>
        </w:rPr>
      </w:pPr>
    </w:p>
    <w:p w14:paraId="7AD80297" w14:textId="76BC4A8A" w:rsidR="003F6F57" w:rsidRDefault="003F6F57" w:rsidP="00086EDF">
      <w:pPr>
        <w:spacing w:after="0"/>
        <w:ind w:firstLine="720"/>
        <w:jc w:val="both"/>
        <w:rPr>
          <w:bCs/>
          <w:sz w:val="24"/>
          <w:szCs w:val="24"/>
        </w:rPr>
      </w:pPr>
      <w:r>
        <w:rPr>
          <w:bCs/>
          <w:sz w:val="24"/>
          <w:szCs w:val="24"/>
        </w:rPr>
        <w:lastRenderedPageBreak/>
        <w:t xml:space="preserve">The Board has </w:t>
      </w:r>
      <w:r w:rsidR="005238CA">
        <w:rPr>
          <w:bCs/>
          <w:sz w:val="24"/>
          <w:szCs w:val="24"/>
        </w:rPr>
        <w:t xml:space="preserve">adopted the Federal Labor Relations Authority (FLRA) standard that </w:t>
      </w:r>
      <w:r w:rsidR="007D06D5">
        <w:rPr>
          <w:bCs/>
          <w:sz w:val="24"/>
          <w:szCs w:val="24"/>
        </w:rPr>
        <w:t xml:space="preserve">the BPA confers independent jurisdiction on arbitrators to consider attorney fees requests </w:t>
      </w:r>
      <w:r w:rsidR="00267D34">
        <w:rPr>
          <w:bCs/>
          <w:sz w:val="24"/>
          <w:szCs w:val="24"/>
        </w:rPr>
        <w:t>“unless the parties’ CBA ‘clearly and unmistakably’ waives the statutory right to such fees</w:t>
      </w:r>
      <w:r>
        <w:rPr>
          <w:bCs/>
          <w:sz w:val="24"/>
          <w:szCs w:val="24"/>
        </w:rPr>
        <w:t>.</w:t>
      </w:r>
      <w:r w:rsidR="00267D34">
        <w:rPr>
          <w:bCs/>
          <w:sz w:val="24"/>
          <w:szCs w:val="24"/>
        </w:rPr>
        <w:t>’”</w:t>
      </w:r>
      <w:r w:rsidR="00267D34">
        <w:rPr>
          <w:rStyle w:val="FootnoteReference"/>
          <w:bCs/>
          <w:sz w:val="24"/>
          <w:szCs w:val="24"/>
        </w:rPr>
        <w:footnoteReference w:id="83"/>
      </w:r>
      <w:r>
        <w:rPr>
          <w:bCs/>
          <w:sz w:val="24"/>
          <w:szCs w:val="24"/>
        </w:rPr>
        <w:t xml:space="preserve"> </w:t>
      </w:r>
      <w:r w:rsidR="00EF3F89">
        <w:rPr>
          <w:bCs/>
          <w:sz w:val="24"/>
          <w:szCs w:val="24"/>
        </w:rPr>
        <w:t>A general arbitration clause is not a clear and unmistakable waiver of a statutory right.</w:t>
      </w:r>
      <w:r w:rsidR="00EF3F89">
        <w:rPr>
          <w:rStyle w:val="FootnoteReference"/>
          <w:bCs/>
          <w:sz w:val="24"/>
          <w:szCs w:val="24"/>
        </w:rPr>
        <w:footnoteReference w:id="84"/>
      </w:r>
      <w:r w:rsidR="00EF3F89" w:rsidRPr="00EF3F89">
        <w:rPr>
          <w:rFonts w:ascii="Source Sans Pro" w:hAnsi="Source Sans Pro"/>
          <w:color w:val="1F1F1F"/>
          <w:sz w:val="26"/>
          <w:szCs w:val="26"/>
          <w:shd w:val="clear" w:color="auto" w:fill="FFFFFF"/>
        </w:rPr>
        <w:t xml:space="preserve"> </w:t>
      </w:r>
      <w:r w:rsidR="003C30B0" w:rsidRPr="003C30B0">
        <w:rPr>
          <w:color w:val="1F1F1F"/>
          <w:sz w:val="24"/>
          <w:szCs w:val="24"/>
          <w:shd w:val="clear" w:color="auto" w:fill="FFFFFF"/>
        </w:rPr>
        <w:t>The Board has previously rejected arbitration review</w:t>
      </w:r>
      <w:r w:rsidR="003C30B0">
        <w:rPr>
          <w:color w:val="1F1F1F"/>
          <w:sz w:val="24"/>
          <w:szCs w:val="24"/>
          <w:shd w:val="clear" w:color="auto" w:fill="FFFFFF"/>
        </w:rPr>
        <w:t xml:space="preserve"> requests </w:t>
      </w:r>
      <w:r w:rsidR="001C5BB8">
        <w:rPr>
          <w:color w:val="1F1F1F"/>
          <w:sz w:val="24"/>
          <w:szCs w:val="24"/>
          <w:shd w:val="clear" w:color="auto" w:fill="FFFFFF"/>
        </w:rPr>
        <w:t xml:space="preserve">regarding similar CBA provisions </w:t>
      </w:r>
      <w:r w:rsidR="009C054B">
        <w:rPr>
          <w:color w:val="1F1F1F"/>
          <w:sz w:val="24"/>
          <w:szCs w:val="24"/>
          <w:shd w:val="clear" w:color="auto" w:fill="FFFFFF"/>
        </w:rPr>
        <w:t xml:space="preserve">as </w:t>
      </w:r>
      <w:r w:rsidR="00B4151D">
        <w:rPr>
          <w:color w:val="1F1F1F"/>
          <w:sz w:val="24"/>
          <w:szCs w:val="24"/>
          <w:shd w:val="clear" w:color="auto" w:fill="FFFFFF"/>
        </w:rPr>
        <w:t xml:space="preserve">within an arbitrator’s jurisdiction </w:t>
      </w:r>
      <w:r w:rsidR="008C1B63">
        <w:rPr>
          <w:color w:val="1F1F1F"/>
          <w:sz w:val="24"/>
          <w:szCs w:val="24"/>
          <w:shd w:val="clear" w:color="auto" w:fill="FFFFFF"/>
        </w:rPr>
        <w:t xml:space="preserve">and as not constituting </w:t>
      </w:r>
      <w:r w:rsidR="00573FA6">
        <w:rPr>
          <w:color w:val="1F1F1F"/>
          <w:sz w:val="24"/>
          <w:szCs w:val="24"/>
          <w:shd w:val="clear" w:color="auto" w:fill="FFFFFF"/>
        </w:rPr>
        <w:t>a clear waiver of a statutory right.</w:t>
      </w:r>
      <w:r w:rsidR="00573FA6">
        <w:rPr>
          <w:rStyle w:val="FootnoteReference"/>
          <w:color w:val="1F1F1F"/>
          <w:sz w:val="24"/>
          <w:szCs w:val="24"/>
          <w:shd w:val="clear" w:color="auto" w:fill="FFFFFF"/>
        </w:rPr>
        <w:footnoteReference w:id="85"/>
      </w:r>
      <w:r w:rsidR="00893F2D">
        <w:rPr>
          <w:color w:val="1F1F1F"/>
          <w:sz w:val="24"/>
          <w:szCs w:val="24"/>
          <w:shd w:val="clear" w:color="auto" w:fill="FFFFFF"/>
        </w:rPr>
        <w:t xml:space="preserve"> There, the Board </w:t>
      </w:r>
      <w:r w:rsidR="00692B56">
        <w:rPr>
          <w:color w:val="1F1F1F"/>
          <w:sz w:val="24"/>
          <w:szCs w:val="24"/>
          <w:shd w:val="clear" w:color="auto" w:fill="FFFFFF"/>
        </w:rPr>
        <w:t xml:space="preserve">looked to the “hallmarks of interpretation,” noting that the arbitrator referred to and analyzed the parties’ position and </w:t>
      </w:r>
      <w:r w:rsidR="00596899">
        <w:rPr>
          <w:color w:val="1F1F1F"/>
          <w:sz w:val="24"/>
          <w:szCs w:val="24"/>
          <w:shd w:val="clear" w:color="auto" w:fill="FFFFFF"/>
        </w:rPr>
        <w:t>never gave any indication of “doing anything other than trying to reach a reasonable interpretation of the contract.</w:t>
      </w:r>
      <w:r w:rsidR="00596899">
        <w:rPr>
          <w:rStyle w:val="FootnoteReference"/>
          <w:color w:val="1F1F1F"/>
          <w:sz w:val="24"/>
          <w:szCs w:val="24"/>
          <w:shd w:val="clear" w:color="auto" w:fill="FFFFFF"/>
        </w:rPr>
        <w:footnoteReference w:id="86"/>
      </w:r>
      <w:r w:rsidR="002D70E5">
        <w:rPr>
          <w:color w:val="1F1F1F"/>
          <w:sz w:val="24"/>
          <w:szCs w:val="24"/>
          <w:shd w:val="clear" w:color="auto" w:fill="FFFFFF"/>
        </w:rPr>
        <w:t xml:space="preserve"> </w:t>
      </w:r>
      <w:r w:rsidR="00BC08FF">
        <w:rPr>
          <w:color w:val="1F1F1F"/>
          <w:sz w:val="24"/>
          <w:szCs w:val="24"/>
          <w:shd w:val="clear" w:color="auto" w:fill="FFFFFF"/>
        </w:rPr>
        <w:t>The Arbitrator in the instant case similarly, thoroughly analyzed the parties’ arguments and the contract. “Neither can it be said that the [A]rbitrator’s decision on the merits was so untethered from the agreement that it casts doubt on whether he was engaged in interpretation, as opposed to the implementation of his ‘own brand of industrial justice.’”</w:t>
      </w:r>
      <w:r w:rsidR="00BC08FF">
        <w:rPr>
          <w:rStyle w:val="FootnoteReference"/>
          <w:color w:val="1F1F1F"/>
          <w:sz w:val="24"/>
          <w:szCs w:val="24"/>
          <w:shd w:val="clear" w:color="auto" w:fill="FFFFFF"/>
        </w:rPr>
        <w:footnoteReference w:id="87"/>
      </w:r>
      <w:r w:rsidR="00AD1CE8">
        <w:rPr>
          <w:color w:val="1F1F1F"/>
          <w:sz w:val="24"/>
          <w:szCs w:val="24"/>
          <w:shd w:val="clear" w:color="auto" w:fill="FFFFFF"/>
        </w:rPr>
        <w:t xml:space="preserve"> A clause stating that parties shall generally pay for their own representatives does not limit an arbitrator’s equitable authority where that CBA clause </w:t>
      </w:r>
      <w:r w:rsidR="005B71E9">
        <w:rPr>
          <w:color w:val="1F1F1F"/>
          <w:sz w:val="24"/>
          <w:szCs w:val="24"/>
          <w:shd w:val="clear" w:color="auto" w:fill="FFFFFF"/>
        </w:rPr>
        <w:t>does not provide any clear waiver of the rights afforded under the BPA.</w:t>
      </w:r>
      <w:r w:rsidR="005B71E9">
        <w:rPr>
          <w:rStyle w:val="FootnoteReference"/>
          <w:color w:val="1F1F1F"/>
          <w:sz w:val="24"/>
          <w:szCs w:val="24"/>
          <w:shd w:val="clear" w:color="auto" w:fill="FFFFFF"/>
        </w:rPr>
        <w:footnoteReference w:id="88"/>
      </w:r>
    </w:p>
    <w:p w14:paraId="00F610B6" w14:textId="77777777" w:rsidR="00AE03F2" w:rsidRDefault="00AE03F2" w:rsidP="00086EDF">
      <w:pPr>
        <w:spacing w:after="0"/>
        <w:ind w:firstLine="720"/>
        <w:jc w:val="both"/>
        <w:rPr>
          <w:bCs/>
          <w:sz w:val="24"/>
          <w:szCs w:val="24"/>
        </w:rPr>
      </w:pPr>
    </w:p>
    <w:p w14:paraId="43931307" w14:textId="6FE490C1" w:rsidR="00AE03F2" w:rsidRPr="001B2E41" w:rsidRDefault="00AE03F2" w:rsidP="00086EDF">
      <w:pPr>
        <w:spacing w:after="0"/>
        <w:ind w:firstLine="720"/>
        <w:jc w:val="both"/>
        <w:rPr>
          <w:bCs/>
          <w:sz w:val="24"/>
          <w:szCs w:val="24"/>
        </w:rPr>
      </w:pPr>
      <w:r>
        <w:rPr>
          <w:bCs/>
          <w:sz w:val="24"/>
          <w:szCs w:val="24"/>
        </w:rPr>
        <w:t>The</w:t>
      </w:r>
      <w:r w:rsidR="005B71E9">
        <w:rPr>
          <w:bCs/>
          <w:sz w:val="24"/>
          <w:szCs w:val="24"/>
        </w:rPr>
        <w:t xml:space="preserve">refore, the Board finds that the Arbitrator did not exceed his authority in </w:t>
      </w:r>
      <w:r w:rsidR="00A5117A">
        <w:rPr>
          <w:bCs/>
          <w:sz w:val="24"/>
          <w:szCs w:val="24"/>
        </w:rPr>
        <w:t xml:space="preserve">applying the Back Pay Act to the instant Fee Award and awarding </w:t>
      </w:r>
      <w:r w:rsidR="00780931">
        <w:rPr>
          <w:bCs/>
          <w:sz w:val="24"/>
          <w:szCs w:val="24"/>
        </w:rPr>
        <w:t>attorney fees to AFSCME.</w:t>
      </w:r>
    </w:p>
    <w:p w14:paraId="36E06F2D" w14:textId="58ECB79A" w:rsidR="00806D21" w:rsidRPr="00381FA2" w:rsidRDefault="00806D21" w:rsidP="00381FA2">
      <w:pPr>
        <w:spacing w:after="0" w:line="240" w:lineRule="auto"/>
        <w:jc w:val="both"/>
        <w:rPr>
          <w:b/>
          <w:sz w:val="24"/>
          <w:szCs w:val="24"/>
        </w:rPr>
      </w:pPr>
    </w:p>
    <w:p w14:paraId="7C6E0E48" w14:textId="286994C6" w:rsidR="008C001E" w:rsidRDefault="008C001E" w:rsidP="00DF284F">
      <w:pPr>
        <w:pStyle w:val="ListParagraph"/>
        <w:numPr>
          <w:ilvl w:val="0"/>
          <w:numId w:val="1"/>
        </w:numPr>
        <w:spacing w:after="0" w:line="240" w:lineRule="auto"/>
        <w:ind w:left="720"/>
        <w:jc w:val="both"/>
        <w:rPr>
          <w:b/>
          <w:sz w:val="24"/>
          <w:szCs w:val="24"/>
        </w:rPr>
      </w:pPr>
      <w:r w:rsidRPr="00653B2B">
        <w:rPr>
          <w:b/>
          <w:sz w:val="24"/>
          <w:szCs w:val="24"/>
        </w:rPr>
        <w:t>Conclusion</w:t>
      </w:r>
    </w:p>
    <w:p w14:paraId="0186DE80" w14:textId="77777777" w:rsidR="005F7CD0" w:rsidRDefault="005F7CD0" w:rsidP="005F7CD0">
      <w:pPr>
        <w:pStyle w:val="ListParagraph"/>
        <w:spacing w:after="0" w:line="240" w:lineRule="auto"/>
        <w:jc w:val="both"/>
        <w:rPr>
          <w:b/>
          <w:sz w:val="24"/>
          <w:szCs w:val="24"/>
        </w:rPr>
      </w:pPr>
    </w:p>
    <w:p w14:paraId="1FA317C7" w14:textId="3F7FF86E" w:rsidR="00D02E22" w:rsidRDefault="008C001E" w:rsidP="00485B08">
      <w:pPr>
        <w:spacing w:after="0" w:line="240" w:lineRule="auto"/>
        <w:ind w:firstLine="720"/>
        <w:jc w:val="both"/>
        <w:rPr>
          <w:sz w:val="24"/>
          <w:szCs w:val="24"/>
        </w:rPr>
      </w:pPr>
      <w:r w:rsidRPr="003B3E97">
        <w:rPr>
          <w:sz w:val="24"/>
          <w:szCs w:val="24"/>
        </w:rPr>
        <w:t xml:space="preserve">The Board rejects </w:t>
      </w:r>
      <w:r w:rsidR="0071452A">
        <w:rPr>
          <w:sz w:val="24"/>
          <w:szCs w:val="24"/>
        </w:rPr>
        <w:t>OAG’s</w:t>
      </w:r>
      <w:r w:rsidRPr="003B3E97">
        <w:rPr>
          <w:sz w:val="24"/>
          <w:szCs w:val="24"/>
        </w:rPr>
        <w:t xml:space="preserve"> arguments and finds no cause to </w:t>
      </w:r>
      <w:r w:rsidR="007E468E" w:rsidRPr="003B3E97">
        <w:rPr>
          <w:sz w:val="24"/>
          <w:szCs w:val="24"/>
        </w:rPr>
        <w:t xml:space="preserve">modify, set aside, or </w:t>
      </w:r>
      <w:proofErr w:type="gramStart"/>
      <w:r w:rsidR="007E468E" w:rsidRPr="003B3E97">
        <w:rPr>
          <w:sz w:val="24"/>
          <w:szCs w:val="24"/>
        </w:rPr>
        <w:t>remand</w:t>
      </w:r>
      <w:proofErr w:type="gramEnd"/>
      <w:r w:rsidRPr="003B3E97">
        <w:rPr>
          <w:sz w:val="24"/>
          <w:szCs w:val="24"/>
        </w:rPr>
        <w:t xml:space="preserve"> the </w:t>
      </w:r>
      <w:r w:rsidR="0071452A">
        <w:rPr>
          <w:sz w:val="24"/>
          <w:szCs w:val="24"/>
        </w:rPr>
        <w:t xml:space="preserve">Fee </w:t>
      </w:r>
      <w:r w:rsidRPr="003B3E97">
        <w:rPr>
          <w:sz w:val="24"/>
          <w:szCs w:val="24"/>
        </w:rPr>
        <w:t xml:space="preserve">Award. Accordingly, </w:t>
      </w:r>
      <w:r w:rsidR="00EE770E">
        <w:rPr>
          <w:sz w:val="24"/>
          <w:szCs w:val="24"/>
        </w:rPr>
        <w:t xml:space="preserve">the </w:t>
      </w:r>
      <w:r w:rsidR="0001489B" w:rsidRPr="003B3E97">
        <w:rPr>
          <w:sz w:val="24"/>
          <w:szCs w:val="24"/>
        </w:rPr>
        <w:t>R</w:t>
      </w:r>
      <w:r w:rsidRPr="003B3E97">
        <w:rPr>
          <w:sz w:val="24"/>
          <w:szCs w:val="24"/>
        </w:rPr>
        <w:t xml:space="preserve">equest is </w:t>
      </w:r>
      <w:r w:rsidR="00FA768F" w:rsidRPr="003B3E97">
        <w:rPr>
          <w:sz w:val="24"/>
          <w:szCs w:val="24"/>
        </w:rPr>
        <w:t>denied,</w:t>
      </w:r>
      <w:r w:rsidRPr="003B3E97">
        <w:rPr>
          <w:sz w:val="24"/>
          <w:szCs w:val="24"/>
        </w:rPr>
        <w:t xml:space="preserve"> and the matter is dismissed in its entirety. </w:t>
      </w:r>
    </w:p>
    <w:p w14:paraId="058F8FE8" w14:textId="1975702D" w:rsidR="000B5114" w:rsidRDefault="000B5114" w:rsidP="007F1922">
      <w:pPr>
        <w:spacing w:after="0" w:line="240" w:lineRule="auto"/>
        <w:rPr>
          <w:sz w:val="24"/>
          <w:szCs w:val="24"/>
        </w:rPr>
      </w:pPr>
    </w:p>
    <w:p w14:paraId="4FA15A85" w14:textId="77777777" w:rsidR="001319CC" w:rsidRDefault="001319CC" w:rsidP="007F1922">
      <w:pPr>
        <w:spacing w:after="0" w:line="240" w:lineRule="auto"/>
        <w:rPr>
          <w:sz w:val="24"/>
          <w:szCs w:val="24"/>
        </w:rPr>
      </w:pPr>
    </w:p>
    <w:p w14:paraId="2EE3C1A1" w14:textId="77777777" w:rsidR="0014550F" w:rsidRDefault="0014550F" w:rsidP="007F1922">
      <w:pPr>
        <w:spacing w:after="0" w:line="240" w:lineRule="auto"/>
        <w:rPr>
          <w:sz w:val="24"/>
          <w:szCs w:val="24"/>
        </w:rPr>
      </w:pPr>
    </w:p>
    <w:p w14:paraId="6810D8E9" w14:textId="77777777" w:rsidR="0014550F" w:rsidRDefault="0014550F" w:rsidP="007F1922">
      <w:pPr>
        <w:spacing w:after="0" w:line="240" w:lineRule="auto"/>
        <w:rPr>
          <w:sz w:val="24"/>
          <w:szCs w:val="24"/>
        </w:rPr>
      </w:pPr>
    </w:p>
    <w:p w14:paraId="653C6DEA" w14:textId="77777777" w:rsidR="0014550F" w:rsidRDefault="0014550F" w:rsidP="007F1922">
      <w:pPr>
        <w:spacing w:after="0" w:line="240" w:lineRule="auto"/>
        <w:rPr>
          <w:sz w:val="24"/>
          <w:szCs w:val="24"/>
        </w:rPr>
      </w:pPr>
    </w:p>
    <w:p w14:paraId="090FF5E6" w14:textId="77777777" w:rsidR="0014550F" w:rsidRDefault="0014550F" w:rsidP="007F1922">
      <w:pPr>
        <w:spacing w:after="0" w:line="240" w:lineRule="auto"/>
        <w:rPr>
          <w:sz w:val="24"/>
          <w:szCs w:val="24"/>
        </w:rPr>
      </w:pPr>
    </w:p>
    <w:p w14:paraId="2AD00E08" w14:textId="77777777" w:rsidR="0014550F" w:rsidRDefault="0014550F" w:rsidP="007F1922">
      <w:pPr>
        <w:spacing w:after="0" w:line="240" w:lineRule="auto"/>
        <w:rPr>
          <w:sz w:val="24"/>
          <w:szCs w:val="24"/>
        </w:rPr>
      </w:pPr>
    </w:p>
    <w:p w14:paraId="29E8C2AC" w14:textId="77777777" w:rsidR="0014550F" w:rsidRDefault="0014550F" w:rsidP="007F1922">
      <w:pPr>
        <w:spacing w:after="0" w:line="240" w:lineRule="auto"/>
        <w:rPr>
          <w:sz w:val="24"/>
          <w:szCs w:val="24"/>
        </w:rPr>
      </w:pPr>
    </w:p>
    <w:p w14:paraId="2C246A25" w14:textId="77777777" w:rsidR="0014550F" w:rsidRDefault="0014550F" w:rsidP="007F1922">
      <w:pPr>
        <w:spacing w:after="0" w:line="240" w:lineRule="auto"/>
        <w:rPr>
          <w:sz w:val="24"/>
          <w:szCs w:val="24"/>
        </w:rPr>
      </w:pPr>
    </w:p>
    <w:p w14:paraId="467C9151" w14:textId="37B8DBA3" w:rsidR="008C001E" w:rsidRPr="003B3E97" w:rsidRDefault="008C001E" w:rsidP="0001489B">
      <w:pPr>
        <w:spacing w:after="0" w:line="240" w:lineRule="auto"/>
        <w:ind w:firstLine="360"/>
        <w:jc w:val="center"/>
        <w:rPr>
          <w:b/>
          <w:sz w:val="24"/>
          <w:szCs w:val="24"/>
          <w:u w:val="single"/>
        </w:rPr>
      </w:pPr>
      <w:r w:rsidRPr="003B3E97">
        <w:rPr>
          <w:b/>
          <w:sz w:val="24"/>
          <w:szCs w:val="24"/>
          <w:u w:val="single"/>
        </w:rPr>
        <w:lastRenderedPageBreak/>
        <w:t>ORDER</w:t>
      </w:r>
    </w:p>
    <w:p w14:paraId="33DFA193" w14:textId="77777777" w:rsidR="0001489B" w:rsidRPr="003B3E97" w:rsidRDefault="0001489B" w:rsidP="0001489B">
      <w:pPr>
        <w:spacing w:after="0" w:line="240" w:lineRule="auto"/>
        <w:ind w:firstLine="360"/>
        <w:jc w:val="center"/>
        <w:rPr>
          <w:b/>
          <w:sz w:val="24"/>
          <w:szCs w:val="24"/>
          <w:u w:val="single"/>
        </w:rPr>
      </w:pPr>
    </w:p>
    <w:p w14:paraId="25465361" w14:textId="77777777" w:rsidR="008C001E" w:rsidRPr="003B3E97" w:rsidRDefault="008C001E" w:rsidP="00C2516A">
      <w:pPr>
        <w:spacing w:after="240" w:line="240" w:lineRule="auto"/>
        <w:jc w:val="both"/>
        <w:rPr>
          <w:b/>
          <w:sz w:val="24"/>
          <w:szCs w:val="24"/>
          <w:u w:val="single"/>
        </w:rPr>
      </w:pPr>
      <w:r w:rsidRPr="003B3E97">
        <w:rPr>
          <w:b/>
          <w:sz w:val="24"/>
          <w:szCs w:val="24"/>
        </w:rPr>
        <w:t>IT IS HEREBY ORDERED THAT:</w:t>
      </w:r>
    </w:p>
    <w:p w14:paraId="15F974F3" w14:textId="5C7C91F2" w:rsidR="008C001E" w:rsidRPr="003B3E97" w:rsidRDefault="008C001E" w:rsidP="00C2516A">
      <w:pPr>
        <w:pStyle w:val="ListParagraph"/>
        <w:numPr>
          <w:ilvl w:val="0"/>
          <w:numId w:val="2"/>
        </w:numPr>
        <w:spacing w:after="240" w:line="240" w:lineRule="auto"/>
        <w:jc w:val="both"/>
        <w:rPr>
          <w:sz w:val="24"/>
          <w:szCs w:val="24"/>
        </w:rPr>
      </w:pPr>
      <w:r w:rsidRPr="003B3E97">
        <w:rPr>
          <w:sz w:val="24"/>
          <w:szCs w:val="24"/>
        </w:rPr>
        <w:t>The arbitration review request is denied</w:t>
      </w:r>
      <w:r w:rsidR="00220CBE">
        <w:rPr>
          <w:sz w:val="24"/>
          <w:szCs w:val="24"/>
        </w:rPr>
        <w:t>; and</w:t>
      </w:r>
      <w:r w:rsidRPr="003B3E97">
        <w:rPr>
          <w:sz w:val="24"/>
          <w:szCs w:val="24"/>
        </w:rPr>
        <w:t xml:space="preserve"> </w:t>
      </w:r>
    </w:p>
    <w:p w14:paraId="1E085769" w14:textId="77777777" w:rsidR="008C001E" w:rsidRPr="003B3E97" w:rsidRDefault="008C001E" w:rsidP="00C2516A">
      <w:pPr>
        <w:pStyle w:val="ListParagraph"/>
        <w:tabs>
          <w:tab w:val="left" w:pos="4395"/>
        </w:tabs>
        <w:spacing w:after="240" w:line="240" w:lineRule="auto"/>
        <w:ind w:left="1800"/>
        <w:jc w:val="both"/>
        <w:rPr>
          <w:sz w:val="24"/>
          <w:szCs w:val="24"/>
        </w:rPr>
      </w:pPr>
      <w:r w:rsidRPr="003B3E97">
        <w:rPr>
          <w:sz w:val="24"/>
          <w:szCs w:val="24"/>
        </w:rPr>
        <w:tab/>
      </w:r>
    </w:p>
    <w:p w14:paraId="410E1569" w14:textId="75C73A5C" w:rsidR="008C001E" w:rsidRPr="003B3E97" w:rsidRDefault="008C001E" w:rsidP="00C2516A">
      <w:pPr>
        <w:pStyle w:val="ListParagraph"/>
        <w:numPr>
          <w:ilvl w:val="0"/>
          <w:numId w:val="2"/>
        </w:numPr>
        <w:jc w:val="both"/>
        <w:rPr>
          <w:sz w:val="24"/>
          <w:szCs w:val="24"/>
        </w:rPr>
      </w:pPr>
      <w:r w:rsidRPr="003B3E97">
        <w:rPr>
          <w:sz w:val="24"/>
          <w:szCs w:val="24"/>
        </w:rPr>
        <w:t>Pursuant to Board Rule 559</w:t>
      </w:r>
      <w:r w:rsidR="00E102C5">
        <w:rPr>
          <w:sz w:val="24"/>
          <w:szCs w:val="24"/>
        </w:rPr>
        <w:t>.1</w:t>
      </w:r>
      <w:r w:rsidRPr="003B3E97">
        <w:rPr>
          <w:sz w:val="24"/>
          <w:szCs w:val="24"/>
        </w:rPr>
        <w:t xml:space="preserve">, this Decision and Order is final upon issuance. </w:t>
      </w:r>
    </w:p>
    <w:p w14:paraId="545834CF" w14:textId="77777777" w:rsidR="008C001E" w:rsidRPr="003B3E97" w:rsidRDefault="008C001E" w:rsidP="00C2516A">
      <w:pPr>
        <w:spacing w:after="240" w:line="240" w:lineRule="auto"/>
        <w:jc w:val="both"/>
        <w:rPr>
          <w:b/>
          <w:sz w:val="24"/>
          <w:szCs w:val="24"/>
        </w:rPr>
      </w:pPr>
      <w:r w:rsidRPr="003B3E97">
        <w:rPr>
          <w:b/>
          <w:sz w:val="24"/>
          <w:szCs w:val="24"/>
        </w:rPr>
        <w:t>BY ORDER OF THE PUBLIC EMPLOYEE RELATIONS BOARD</w:t>
      </w:r>
    </w:p>
    <w:p w14:paraId="549FB60F" w14:textId="77777777" w:rsidR="002353B7" w:rsidRPr="00622AA5" w:rsidRDefault="002353B7" w:rsidP="002353B7">
      <w:pPr>
        <w:spacing w:after="0" w:line="240" w:lineRule="auto"/>
        <w:rPr>
          <w:sz w:val="24"/>
          <w:szCs w:val="24"/>
        </w:rPr>
      </w:pPr>
      <w:r w:rsidRPr="00622AA5">
        <w:rPr>
          <w:sz w:val="24"/>
          <w:szCs w:val="24"/>
        </w:rPr>
        <w:t>By vote of Board Chairperson Douglas Warshof and Members Renee Bowser, Mary Anne Gibbons and Peter Winkler.</w:t>
      </w:r>
    </w:p>
    <w:p w14:paraId="23B9C5E8" w14:textId="505F1210" w:rsidR="008C001E" w:rsidRPr="003B3E97" w:rsidRDefault="00BA4C59" w:rsidP="00C2516A">
      <w:pPr>
        <w:spacing w:after="240" w:line="240" w:lineRule="auto"/>
        <w:jc w:val="both"/>
        <w:rPr>
          <w:sz w:val="24"/>
          <w:szCs w:val="24"/>
        </w:rPr>
      </w:pPr>
      <w:r>
        <w:rPr>
          <w:sz w:val="24"/>
          <w:szCs w:val="24"/>
        </w:rPr>
        <w:br/>
      </w:r>
      <w:r w:rsidR="00FE02B9">
        <w:rPr>
          <w:sz w:val="24"/>
          <w:szCs w:val="24"/>
        </w:rPr>
        <w:t>November 20</w:t>
      </w:r>
      <w:r w:rsidR="009C22C0" w:rsidRPr="003B3E97">
        <w:rPr>
          <w:sz w:val="24"/>
          <w:szCs w:val="24"/>
        </w:rPr>
        <w:t>, 202</w:t>
      </w:r>
      <w:r w:rsidR="00220CBE">
        <w:rPr>
          <w:sz w:val="24"/>
          <w:szCs w:val="24"/>
        </w:rPr>
        <w:t>5</w:t>
      </w:r>
    </w:p>
    <w:p w14:paraId="083DE749" w14:textId="4C162E89" w:rsidR="004B4245" w:rsidRPr="004535C2" w:rsidRDefault="008C001E" w:rsidP="004B2A7F">
      <w:pPr>
        <w:tabs>
          <w:tab w:val="center" w:pos="4680"/>
        </w:tabs>
        <w:spacing w:after="0" w:line="240" w:lineRule="auto"/>
        <w:jc w:val="both"/>
        <w:rPr>
          <w:b/>
          <w:sz w:val="24"/>
          <w:szCs w:val="24"/>
        </w:rPr>
      </w:pPr>
      <w:r w:rsidRPr="004535C2">
        <w:rPr>
          <w:b/>
          <w:sz w:val="24"/>
          <w:szCs w:val="24"/>
        </w:rPr>
        <w:t>Washington, D.C.</w:t>
      </w:r>
    </w:p>
    <w:p w14:paraId="1D47C3BD" w14:textId="16715F65" w:rsidR="0024216A" w:rsidRDefault="0024216A" w:rsidP="0050781A">
      <w:pPr>
        <w:tabs>
          <w:tab w:val="center" w:pos="4680"/>
        </w:tabs>
        <w:spacing w:after="0" w:line="240" w:lineRule="auto"/>
        <w:jc w:val="both"/>
        <w:rPr>
          <w:sz w:val="24"/>
          <w:szCs w:val="24"/>
        </w:rPr>
      </w:pPr>
    </w:p>
    <w:p w14:paraId="166574E5" w14:textId="0C0D3A61" w:rsidR="00B94524" w:rsidRDefault="00B94524" w:rsidP="0050781A">
      <w:pPr>
        <w:tabs>
          <w:tab w:val="center" w:pos="4680"/>
        </w:tabs>
        <w:spacing w:after="0" w:line="240" w:lineRule="auto"/>
        <w:jc w:val="both"/>
        <w:rPr>
          <w:sz w:val="24"/>
          <w:szCs w:val="24"/>
        </w:rPr>
      </w:pPr>
    </w:p>
    <w:p w14:paraId="6FEBFFE0" w14:textId="635C9558" w:rsidR="00B94524" w:rsidRDefault="00B94524" w:rsidP="0050781A">
      <w:pPr>
        <w:tabs>
          <w:tab w:val="center" w:pos="4680"/>
        </w:tabs>
        <w:spacing w:after="0" w:line="240" w:lineRule="auto"/>
        <w:jc w:val="both"/>
        <w:rPr>
          <w:sz w:val="24"/>
          <w:szCs w:val="24"/>
        </w:rPr>
      </w:pPr>
    </w:p>
    <w:p w14:paraId="71DA3FC9" w14:textId="777ACB0F" w:rsidR="00B94524" w:rsidRDefault="00B94524" w:rsidP="0050781A">
      <w:pPr>
        <w:tabs>
          <w:tab w:val="center" w:pos="4680"/>
        </w:tabs>
        <w:spacing w:after="0" w:line="240" w:lineRule="auto"/>
        <w:jc w:val="both"/>
        <w:rPr>
          <w:sz w:val="24"/>
          <w:szCs w:val="24"/>
        </w:rPr>
      </w:pPr>
    </w:p>
    <w:p w14:paraId="6A5CD109" w14:textId="5AAFFDA1" w:rsidR="00B106A0" w:rsidRPr="0024216A" w:rsidRDefault="00D41950" w:rsidP="00B106A0">
      <w:pPr>
        <w:tabs>
          <w:tab w:val="left" w:pos="6710"/>
          <w:tab w:val="right" w:pos="9360"/>
        </w:tabs>
        <w:spacing w:after="0" w:line="240" w:lineRule="auto"/>
        <w:jc w:val="both"/>
        <w:rPr>
          <w:sz w:val="24"/>
          <w:szCs w:val="24"/>
        </w:rPr>
      </w:pPr>
      <w:r>
        <w:rPr>
          <w:sz w:val="24"/>
          <w:szCs w:val="24"/>
        </w:rPr>
        <w:tab/>
      </w:r>
    </w:p>
    <w:p w14:paraId="5C4C2321" w14:textId="77777777" w:rsidR="00D00BE7" w:rsidRDefault="00D00BE7" w:rsidP="00D41950">
      <w:pPr>
        <w:tabs>
          <w:tab w:val="center" w:pos="4680"/>
        </w:tabs>
        <w:spacing w:after="0" w:line="240" w:lineRule="auto"/>
        <w:jc w:val="both"/>
        <w:rPr>
          <w:sz w:val="24"/>
          <w:szCs w:val="24"/>
        </w:rPr>
        <w:sectPr w:rsidR="00D00BE7" w:rsidSect="004B4245">
          <w:headerReference w:type="default" r:id="rId11"/>
          <w:footerReference w:type="default" r:id="rId12"/>
          <w:headerReference w:type="first" r:id="rId13"/>
          <w:footerReference w:type="first" r:id="rId14"/>
          <w:pgSz w:w="12240" w:h="15840"/>
          <w:pgMar w:top="1260" w:right="1440" w:bottom="1440" w:left="1440" w:header="720" w:footer="720" w:gutter="0"/>
          <w:cols w:space="720"/>
          <w:titlePg/>
          <w:docGrid w:linePitch="360"/>
        </w:sectPr>
      </w:pPr>
    </w:p>
    <w:p w14:paraId="6FEC9B40" w14:textId="77777777" w:rsidR="00D00BE7" w:rsidRPr="00B76DA2" w:rsidRDefault="00D00BE7" w:rsidP="00D00BE7">
      <w:pPr>
        <w:tabs>
          <w:tab w:val="left" w:pos="3510"/>
        </w:tabs>
        <w:jc w:val="center"/>
        <w:rPr>
          <w:b/>
          <w:sz w:val="24"/>
          <w:szCs w:val="24"/>
          <w:u w:val="single"/>
        </w:rPr>
      </w:pPr>
      <w:r w:rsidRPr="00B76DA2">
        <w:rPr>
          <w:b/>
          <w:sz w:val="24"/>
          <w:szCs w:val="24"/>
          <w:u w:val="single"/>
        </w:rPr>
        <w:lastRenderedPageBreak/>
        <w:t>APPEAL RIGHTS</w:t>
      </w:r>
    </w:p>
    <w:p w14:paraId="630CE687" w14:textId="77777777" w:rsidR="00D00BE7" w:rsidRPr="00B76DA2" w:rsidRDefault="00D00BE7" w:rsidP="00D00BE7">
      <w:pPr>
        <w:spacing w:after="0" w:line="240" w:lineRule="auto"/>
        <w:rPr>
          <w:sz w:val="24"/>
          <w:szCs w:val="24"/>
        </w:rPr>
      </w:pPr>
    </w:p>
    <w:p w14:paraId="00F4A1B0" w14:textId="77777777" w:rsidR="00D00BE7" w:rsidRPr="00B76DA2" w:rsidRDefault="00D00BE7" w:rsidP="00D00BE7">
      <w:pPr>
        <w:tabs>
          <w:tab w:val="center" w:pos="4680"/>
        </w:tabs>
        <w:spacing w:after="0" w:line="240" w:lineRule="auto"/>
        <w:jc w:val="both"/>
        <w:rPr>
          <w:sz w:val="24"/>
          <w:szCs w:val="24"/>
        </w:rPr>
      </w:pPr>
      <w:r w:rsidRPr="00B76DA2">
        <w:rPr>
          <w:sz w:val="24"/>
          <w:szCs w:val="24"/>
        </w:rPr>
        <w:t xml:space="preserve">Pursuant to Board Rule 559.2, a party may file a motion for reconsideration, requesting the Board reconsider its decision. Additionally, a final decision by the Board may </w:t>
      </w:r>
      <w:proofErr w:type="gramStart"/>
      <w:r w:rsidRPr="00B76DA2">
        <w:rPr>
          <w:sz w:val="24"/>
          <w:szCs w:val="24"/>
        </w:rPr>
        <w:t>be appealed</w:t>
      </w:r>
      <w:proofErr w:type="gramEnd"/>
      <w:r w:rsidRPr="00B76DA2">
        <w:rPr>
          <w:sz w:val="24"/>
          <w:szCs w:val="24"/>
        </w:rPr>
        <w:t xml:space="preserve"> to the District of Columbia Superior Court pursuant to D.C. Official Code §§ 1-605.2(12) and 1-617.13(c), which provides 30 days after a decision file an appeal.</w:t>
      </w:r>
    </w:p>
    <w:p w14:paraId="7DB09B01" w14:textId="56226827" w:rsidR="00B94524" w:rsidRPr="0024216A" w:rsidRDefault="00B94524" w:rsidP="00D41950">
      <w:pPr>
        <w:tabs>
          <w:tab w:val="center" w:pos="4680"/>
        </w:tabs>
        <w:spacing w:after="0" w:line="240" w:lineRule="auto"/>
        <w:jc w:val="both"/>
        <w:rPr>
          <w:sz w:val="24"/>
          <w:szCs w:val="24"/>
        </w:rPr>
      </w:pPr>
    </w:p>
    <w:sectPr w:rsidR="00B94524" w:rsidRPr="0024216A" w:rsidSect="004B4245">
      <w:pgSz w:w="12240" w:h="15840"/>
      <w:pgMar w:top="12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D3774" w14:textId="77777777" w:rsidR="007B3117" w:rsidRDefault="007B3117" w:rsidP="008C001E">
      <w:pPr>
        <w:spacing w:after="0" w:line="240" w:lineRule="auto"/>
      </w:pPr>
      <w:r>
        <w:separator/>
      </w:r>
    </w:p>
  </w:endnote>
  <w:endnote w:type="continuationSeparator" w:id="0">
    <w:p w14:paraId="535997B8" w14:textId="77777777" w:rsidR="007B3117" w:rsidRDefault="007B3117" w:rsidP="008C001E">
      <w:pPr>
        <w:spacing w:after="0" w:line="240" w:lineRule="auto"/>
      </w:pPr>
      <w:r>
        <w:continuationSeparator/>
      </w:r>
    </w:p>
  </w:endnote>
  <w:endnote w:type="continuationNotice" w:id="1">
    <w:p w14:paraId="37C21579" w14:textId="77777777" w:rsidR="007B3117" w:rsidRDefault="007B31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81E5B" w14:textId="77777777" w:rsidR="00981F6C" w:rsidRDefault="00981F6C">
    <w:pPr>
      <w:pStyle w:val="Footer"/>
      <w:jc w:val="center"/>
    </w:pPr>
    <w:r>
      <w:fldChar w:fldCharType="begin"/>
    </w:r>
    <w:r>
      <w:instrText xml:space="preserve"> PAGE   \* MERGEFORMAT </w:instrText>
    </w:r>
    <w:r>
      <w:fldChar w:fldCharType="separate"/>
    </w:r>
    <w:r>
      <w:rPr>
        <w:noProof/>
      </w:rPr>
      <w:t>9</w:t>
    </w:r>
    <w:r>
      <w:rPr>
        <w:noProof/>
      </w:rPr>
      <w:fldChar w:fldCharType="end"/>
    </w:r>
  </w:p>
  <w:p w14:paraId="6D417BFF" w14:textId="77777777" w:rsidR="00981F6C" w:rsidRDefault="00981F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E90358" w14:paraId="4F1B328E" w14:textId="77777777" w:rsidTr="00087765">
      <w:tc>
        <w:tcPr>
          <w:tcW w:w="3120" w:type="dxa"/>
        </w:tcPr>
        <w:p w14:paraId="5BA165FB" w14:textId="06BE3924" w:rsidR="52E90358" w:rsidRDefault="52E90358" w:rsidP="00087765">
          <w:pPr>
            <w:pStyle w:val="Header"/>
            <w:ind w:left="-115"/>
          </w:pPr>
        </w:p>
      </w:tc>
      <w:tc>
        <w:tcPr>
          <w:tcW w:w="3120" w:type="dxa"/>
        </w:tcPr>
        <w:p w14:paraId="51A50963" w14:textId="2D924D35" w:rsidR="52E90358" w:rsidRDefault="52E90358" w:rsidP="00087765">
          <w:pPr>
            <w:pStyle w:val="Header"/>
            <w:jc w:val="center"/>
          </w:pPr>
        </w:p>
      </w:tc>
      <w:tc>
        <w:tcPr>
          <w:tcW w:w="3120" w:type="dxa"/>
        </w:tcPr>
        <w:p w14:paraId="40FFB7F4" w14:textId="0AB509BE" w:rsidR="52E90358" w:rsidRDefault="52E90358" w:rsidP="00087765">
          <w:pPr>
            <w:pStyle w:val="Header"/>
            <w:ind w:right="-115"/>
            <w:jc w:val="right"/>
          </w:pPr>
        </w:p>
      </w:tc>
    </w:tr>
  </w:tbl>
  <w:p w14:paraId="40A0A21E" w14:textId="3F2E4375" w:rsidR="52E90358" w:rsidRDefault="52E90358" w:rsidP="00087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50FCF" w14:textId="77777777" w:rsidR="007B3117" w:rsidRDefault="007B3117" w:rsidP="008C001E">
      <w:pPr>
        <w:spacing w:after="0" w:line="240" w:lineRule="auto"/>
      </w:pPr>
      <w:r>
        <w:separator/>
      </w:r>
    </w:p>
  </w:footnote>
  <w:footnote w:type="continuationSeparator" w:id="0">
    <w:p w14:paraId="02FD20AB" w14:textId="77777777" w:rsidR="007B3117" w:rsidRDefault="007B3117" w:rsidP="008C001E">
      <w:pPr>
        <w:spacing w:after="0" w:line="240" w:lineRule="auto"/>
      </w:pPr>
      <w:r>
        <w:continuationSeparator/>
      </w:r>
    </w:p>
  </w:footnote>
  <w:footnote w:type="continuationNotice" w:id="1">
    <w:p w14:paraId="440D4BBF" w14:textId="77777777" w:rsidR="007B3117" w:rsidRDefault="007B3117">
      <w:pPr>
        <w:spacing w:after="0" w:line="240" w:lineRule="auto"/>
      </w:pPr>
    </w:p>
  </w:footnote>
  <w:footnote w:id="2">
    <w:p w14:paraId="562E6992" w14:textId="682805B8" w:rsidR="0003508D" w:rsidRDefault="0003508D" w:rsidP="00AB7C3E">
      <w:pPr>
        <w:pStyle w:val="FootnoteText"/>
        <w:jc w:val="both"/>
      </w:pPr>
      <w:r>
        <w:rPr>
          <w:rStyle w:val="FootnoteReference"/>
        </w:rPr>
        <w:footnoteRef/>
      </w:r>
      <w:r>
        <w:t xml:space="preserve"> Fee Award at 21.</w:t>
      </w:r>
    </w:p>
  </w:footnote>
  <w:footnote w:id="3">
    <w:p w14:paraId="4699A012" w14:textId="1D438040" w:rsidR="00B32064" w:rsidRDefault="00B32064" w:rsidP="00AB7C3E">
      <w:pPr>
        <w:pStyle w:val="FootnoteText"/>
        <w:jc w:val="both"/>
      </w:pPr>
      <w:r>
        <w:rPr>
          <w:rStyle w:val="FootnoteReference"/>
        </w:rPr>
        <w:footnoteRef/>
      </w:r>
      <w:r>
        <w:t xml:space="preserve"> Request at </w:t>
      </w:r>
      <w:r w:rsidR="00D44A16">
        <w:t>2.</w:t>
      </w:r>
    </w:p>
  </w:footnote>
  <w:footnote w:id="4">
    <w:p w14:paraId="51624748" w14:textId="19374870" w:rsidR="00193685" w:rsidRPr="00661E8B" w:rsidRDefault="00193685" w:rsidP="00AB7C3E">
      <w:pPr>
        <w:pStyle w:val="FootnoteText"/>
        <w:jc w:val="both"/>
      </w:pPr>
      <w:r>
        <w:rPr>
          <w:rStyle w:val="FootnoteReference"/>
        </w:rPr>
        <w:footnoteRef/>
      </w:r>
      <w:r>
        <w:t xml:space="preserve"> </w:t>
      </w:r>
      <w:r w:rsidR="00661E8B">
        <w:rPr>
          <w:i/>
          <w:iCs/>
        </w:rPr>
        <w:t>OAG v. AFSCME, Local 2401</w:t>
      </w:r>
      <w:r w:rsidR="00661E8B">
        <w:t xml:space="preserve">, </w:t>
      </w:r>
      <w:r w:rsidR="00E06060">
        <w:t>71 D.C. Reg. 4033, Slip Op. No. 1862, PERB Case No. 24-A-03 (2024)</w:t>
      </w:r>
      <w:r w:rsidR="00751ACD">
        <w:t>.</w:t>
      </w:r>
    </w:p>
  </w:footnote>
  <w:footnote w:id="5">
    <w:p w14:paraId="5CBE9D63" w14:textId="6117C657" w:rsidR="005B20C0" w:rsidRPr="00163936" w:rsidRDefault="005B20C0" w:rsidP="00AB7C3E">
      <w:pPr>
        <w:pStyle w:val="FootnoteText"/>
        <w:jc w:val="both"/>
      </w:pPr>
      <w:r>
        <w:rPr>
          <w:rStyle w:val="FootnoteReference"/>
        </w:rPr>
        <w:footnoteRef/>
      </w:r>
      <w:r>
        <w:t xml:space="preserve"> </w:t>
      </w:r>
      <w:r w:rsidR="00163936">
        <w:rPr>
          <w:i/>
          <w:iCs/>
        </w:rPr>
        <w:t xml:space="preserve">Id. </w:t>
      </w:r>
      <w:r w:rsidR="00163936">
        <w:t xml:space="preserve">at 1. </w:t>
      </w:r>
    </w:p>
  </w:footnote>
  <w:footnote w:id="6">
    <w:p w14:paraId="786AC58F" w14:textId="0B468891" w:rsidR="00761A79" w:rsidRPr="00761A79" w:rsidRDefault="00761A79" w:rsidP="00AB7C3E">
      <w:pPr>
        <w:pStyle w:val="FootnoteText"/>
        <w:jc w:val="both"/>
      </w:pPr>
      <w:r>
        <w:rPr>
          <w:rStyle w:val="FootnoteReference"/>
        </w:rPr>
        <w:footnoteRef/>
      </w:r>
      <w:r>
        <w:t xml:space="preserve"> </w:t>
      </w:r>
      <w:r>
        <w:rPr>
          <w:i/>
          <w:iCs/>
        </w:rPr>
        <w:t>Id</w:t>
      </w:r>
      <w:r>
        <w:t xml:space="preserve">. at 1. </w:t>
      </w:r>
    </w:p>
  </w:footnote>
  <w:footnote w:id="7">
    <w:p w14:paraId="26639C6F" w14:textId="3800635E" w:rsidR="00724075" w:rsidRDefault="00724075" w:rsidP="00AB7C3E">
      <w:pPr>
        <w:pStyle w:val="FootnoteText"/>
        <w:jc w:val="both"/>
      </w:pPr>
      <w:r>
        <w:rPr>
          <w:rStyle w:val="FootnoteReference"/>
        </w:rPr>
        <w:footnoteRef/>
      </w:r>
      <w:r>
        <w:t xml:space="preserve"> </w:t>
      </w:r>
      <w:r w:rsidRPr="00724075">
        <w:rPr>
          <w:i/>
          <w:iCs/>
        </w:rPr>
        <w:t>See, generally</w:t>
      </w:r>
      <w:r w:rsidRPr="00724075">
        <w:t>,</w:t>
      </w:r>
      <w:r w:rsidRPr="00724075">
        <w:rPr>
          <w:i/>
          <w:iCs/>
        </w:rPr>
        <w:t xml:space="preserve"> </w:t>
      </w:r>
      <w:r w:rsidRPr="00724075">
        <w:t>24-A-03 Arbitration Review Request.</w:t>
      </w:r>
    </w:p>
  </w:footnote>
  <w:footnote w:id="8">
    <w:p w14:paraId="16042C64" w14:textId="36CDE325" w:rsidR="00B85379" w:rsidRPr="00B85379" w:rsidRDefault="00B85379" w:rsidP="00AB7C3E">
      <w:pPr>
        <w:pStyle w:val="FootnoteText"/>
        <w:jc w:val="both"/>
      </w:pPr>
      <w:r>
        <w:rPr>
          <w:rStyle w:val="FootnoteReference"/>
        </w:rPr>
        <w:footnoteRef/>
      </w:r>
      <w:r>
        <w:t xml:space="preserve"> </w:t>
      </w:r>
      <w:r>
        <w:rPr>
          <w:i/>
          <w:iCs/>
        </w:rPr>
        <w:t>OAG</w:t>
      </w:r>
      <w:r>
        <w:t xml:space="preserve">, Slip Op. No. 1862 at </w:t>
      </w:r>
      <w:r w:rsidR="0071452A">
        <w:t>10.</w:t>
      </w:r>
    </w:p>
  </w:footnote>
  <w:footnote w:id="9">
    <w:p w14:paraId="199B4C4F" w14:textId="71640FA6" w:rsidR="004520D5" w:rsidRDefault="004520D5" w:rsidP="00AB7C3E">
      <w:pPr>
        <w:pStyle w:val="FootnoteText"/>
        <w:jc w:val="both"/>
      </w:pPr>
      <w:r>
        <w:rPr>
          <w:rStyle w:val="FootnoteReference"/>
        </w:rPr>
        <w:footnoteRef/>
      </w:r>
      <w:r>
        <w:t xml:space="preserve"> Fee Award at 3.</w:t>
      </w:r>
    </w:p>
  </w:footnote>
  <w:footnote w:id="10">
    <w:p w14:paraId="439BC95A" w14:textId="13583E1C" w:rsidR="00520B75" w:rsidRDefault="00520B75" w:rsidP="00AB7C3E">
      <w:pPr>
        <w:pStyle w:val="FootnoteText"/>
        <w:jc w:val="both"/>
      </w:pPr>
      <w:r>
        <w:rPr>
          <w:rStyle w:val="FootnoteReference"/>
        </w:rPr>
        <w:footnoteRef/>
      </w:r>
      <w:r>
        <w:t xml:space="preserve"> Fee Award at 3. </w:t>
      </w:r>
    </w:p>
  </w:footnote>
  <w:footnote w:id="11">
    <w:p w14:paraId="4EEC06C0" w14:textId="2B70E3F7" w:rsidR="00520B75" w:rsidRDefault="00520B75" w:rsidP="00AB7C3E">
      <w:pPr>
        <w:pStyle w:val="FootnoteText"/>
        <w:jc w:val="both"/>
      </w:pPr>
      <w:r>
        <w:rPr>
          <w:rStyle w:val="FootnoteReference"/>
        </w:rPr>
        <w:footnoteRef/>
      </w:r>
      <w:r>
        <w:t xml:space="preserve"> Fee Award at 3.</w:t>
      </w:r>
    </w:p>
  </w:footnote>
  <w:footnote w:id="12">
    <w:p w14:paraId="527DB0E3" w14:textId="1355B319" w:rsidR="00520B75" w:rsidRDefault="00520B75" w:rsidP="00AB7C3E">
      <w:pPr>
        <w:pStyle w:val="FootnoteText"/>
        <w:jc w:val="both"/>
      </w:pPr>
      <w:r>
        <w:rPr>
          <w:rStyle w:val="FootnoteReference"/>
        </w:rPr>
        <w:footnoteRef/>
      </w:r>
      <w:r>
        <w:t xml:space="preserve"> Fee Award at 3-4.</w:t>
      </w:r>
    </w:p>
  </w:footnote>
  <w:footnote w:id="13">
    <w:p w14:paraId="2364E096" w14:textId="5D5F4189" w:rsidR="0016378D" w:rsidRDefault="0016378D" w:rsidP="00AB7C3E">
      <w:pPr>
        <w:pStyle w:val="FootnoteText"/>
        <w:jc w:val="both"/>
      </w:pPr>
      <w:r>
        <w:rPr>
          <w:rStyle w:val="FootnoteReference"/>
        </w:rPr>
        <w:footnoteRef/>
      </w:r>
      <w:r>
        <w:t xml:space="preserve"> Fee Award at 22.</w:t>
      </w:r>
    </w:p>
  </w:footnote>
  <w:footnote w:id="14">
    <w:p w14:paraId="0BBAA0D8" w14:textId="77777777" w:rsidR="00BB7232" w:rsidRDefault="00BB7232" w:rsidP="00BB7232">
      <w:pPr>
        <w:pStyle w:val="FootnoteText"/>
        <w:jc w:val="both"/>
      </w:pPr>
      <w:r>
        <w:rPr>
          <w:rStyle w:val="FootnoteReference"/>
        </w:rPr>
        <w:footnoteRef/>
      </w:r>
      <w:r>
        <w:t xml:space="preserve"> Fee Award at 13.</w:t>
      </w:r>
    </w:p>
  </w:footnote>
  <w:footnote w:id="15">
    <w:p w14:paraId="553A777B" w14:textId="4564BC4E" w:rsidR="0078216A" w:rsidRDefault="0078216A" w:rsidP="00AB7C3E">
      <w:pPr>
        <w:pStyle w:val="FootnoteText"/>
        <w:jc w:val="both"/>
      </w:pPr>
      <w:r>
        <w:rPr>
          <w:rStyle w:val="FootnoteReference"/>
        </w:rPr>
        <w:footnoteRef/>
      </w:r>
      <w:r>
        <w:t xml:space="preserve"> Fee Award at 13.</w:t>
      </w:r>
    </w:p>
  </w:footnote>
  <w:footnote w:id="16">
    <w:p w14:paraId="1882969B" w14:textId="43BF1D31" w:rsidR="00DA259A" w:rsidRDefault="00DA259A" w:rsidP="00AB7C3E">
      <w:pPr>
        <w:pStyle w:val="FootnoteText"/>
        <w:jc w:val="both"/>
      </w:pPr>
      <w:r>
        <w:rPr>
          <w:rStyle w:val="FootnoteReference"/>
        </w:rPr>
        <w:footnoteRef/>
      </w:r>
      <w:r>
        <w:t xml:space="preserve"> Fee Award at 13.</w:t>
      </w:r>
    </w:p>
  </w:footnote>
  <w:footnote w:id="17">
    <w:p w14:paraId="58E70A5D" w14:textId="7892332E" w:rsidR="001D679E" w:rsidRPr="00FD1D2E" w:rsidRDefault="001D679E" w:rsidP="00AB7C3E">
      <w:pPr>
        <w:pStyle w:val="FootnoteText"/>
        <w:jc w:val="both"/>
      </w:pPr>
      <w:r>
        <w:rPr>
          <w:rStyle w:val="FootnoteReference"/>
        </w:rPr>
        <w:footnoteRef/>
      </w:r>
      <w:r w:rsidR="00334FF3">
        <w:rPr>
          <w:i/>
          <w:iCs/>
        </w:rPr>
        <w:t xml:space="preserve"> </w:t>
      </w:r>
      <w:r w:rsidR="00C95CC8">
        <w:rPr>
          <w:i/>
          <w:iCs/>
        </w:rPr>
        <w:t>OAG</w:t>
      </w:r>
      <w:r w:rsidR="00C95CC8">
        <w:t>, Slip Op. No. 1862 at 7</w:t>
      </w:r>
      <w:r w:rsidR="00FD1D2E">
        <w:t xml:space="preserve">; </w:t>
      </w:r>
      <w:r w:rsidR="00FD1D2E">
        <w:rPr>
          <w:i/>
          <w:iCs/>
        </w:rPr>
        <w:t xml:space="preserve">see also </w:t>
      </w:r>
      <w:r w:rsidR="00C95CC8">
        <w:t>Merits Award at 24</w:t>
      </w:r>
      <w:r w:rsidR="00E77CA2">
        <w:t>.</w:t>
      </w:r>
    </w:p>
  </w:footnote>
  <w:footnote w:id="18">
    <w:p w14:paraId="1DBB0C36" w14:textId="615D091D" w:rsidR="009838A8" w:rsidRDefault="009838A8" w:rsidP="00AB7C3E">
      <w:pPr>
        <w:pStyle w:val="FootnoteText"/>
        <w:jc w:val="both"/>
      </w:pPr>
      <w:r>
        <w:rPr>
          <w:rStyle w:val="FootnoteReference"/>
        </w:rPr>
        <w:footnoteRef/>
      </w:r>
      <w:r>
        <w:t xml:space="preserve"> Fee Award at 13.</w:t>
      </w:r>
    </w:p>
  </w:footnote>
  <w:footnote w:id="19">
    <w:p w14:paraId="0F864D50" w14:textId="16B7FAA1" w:rsidR="00C113B2" w:rsidRDefault="00C113B2" w:rsidP="00AB7C3E">
      <w:pPr>
        <w:pStyle w:val="FootnoteText"/>
        <w:jc w:val="both"/>
      </w:pPr>
      <w:r>
        <w:rPr>
          <w:rStyle w:val="FootnoteReference"/>
        </w:rPr>
        <w:footnoteRef/>
      </w:r>
      <w:r>
        <w:t xml:space="preserve"> Fee Award at 2.</w:t>
      </w:r>
    </w:p>
  </w:footnote>
  <w:footnote w:id="20">
    <w:p w14:paraId="0D4D6EFD" w14:textId="717D3D15" w:rsidR="00A82EA3" w:rsidRDefault="00A82EA3" w:rsidP="00AB7C3E">
      <w:pPr>
        <w:pStyle w:val="FootnoteText"/>
        <w:jc w:val="both"/>
      </w:pPr>
      <w:r>
        <w:rPr>
          <w:rStyle w:val="FootnoteReference"/>
        </w:rPr>
        <w:footnoteRef/>
      </w:r>
      <w:r>
        <w:t xml:space="preserve"> Fee Award at 13</w:t>
      </w:r>
      <w:r w:rsidR="00B620B1">
        <w:t>-17</w:t>
      </w:r>
      <w:r>
        <w:t>.</w:t>
      </w:r>
      <w:r w:rsidR="004E1834">
        <w:t xml:space="preserve"> </w:t>
      </w:r>
      <w:r w:rsidR="005E6869">
        <w:t xml:space="preserve">The Arbitrator further noted that “[i]t is reasonable that the Union counsel expended significant amounts time [sic] </w:t>
      </w:r>
      <w:r w:rsidR="00593BC9">
        <w:t>in advancing its case against an energetic defense by OAG that, the record showed, resisted relentlessly at nearly every point along the way.” Fee Award at 14.</w:t>
      </w:r>
    </w:p>
  </w:footnote>
  <w:footnote w:id="21">
    <w:p w14:paraId="7AEDA3CB" w14:textId="04416A32" w:rsidR="00DC1B49" w:rsidRDefault="00DC1B49" w:rsidP="00AB7C3E">
      <w:pPr>
        <w:pStyle w:val="FootnoteText"/>
        <w:jc w:val="both"/>
      </w:pPr>
      <w:r>
        <w:rPr>
          <w:rStyle w:val="FootnoteReference"/>
        </w:rPr>
        <w:footnoteRef/>
      </w:r>
      <w:r>
        <w:t xml:space="preserve"> Fee Award at 14.</w:t>
      </w:r>
    </w:p>
  </w:footnote>
  <w:footnote w:id="22">
    <w:p w14:paraId="6C38EB15" w14:textId="29F6CB36" w:rsidR="00BB4175" w:rsidRDefault="00BB4175" w:rsidP="00AB7C3E">
      <w:pPr>
        <w:pStyle w:val="FootnoteText"/>
        <w:jc w:val="both"/>
      </w:pPr>
      <w:r>
        <w:rPr>
          <w:rStyle w:val="FootnoteReference"/>
        </w:rPr>
        <w:footnoteRef/>
      </w:r>
      <w:r>
        <w:t xml:space="preserve"> Fee Award at 14.</w:t>
      </w:r>
    </w:p>
  </w:footnote>
  <w:footnote w:id="23">
    <w:p w14:paraId="5E82009E" w14:textId="584058A8" w:rsidR="00B7718A" w:rsidRDefault="00B7718A" w:rsidP="00AB7C3E">
      <w:pPr>
        <w:pStyle w:val="FootnoteText"/>
        <w:jc w:val="both"/>
      </w:pPr>
      <w:r>
        <w:rPr>
          <w:rStyle w:val="FootnoteReference"/>
        </w:rPr>
        <w:footnoteRef/>
      </w:r>
      <w:r>
        <w:t xml:space="preserve"> Fee Award at 14.</w:t>
      </w:r>
    </w:p>
  </w:footnote>
  <w:footnote w:id="24">
    <w:p w14:paraId="655D23FF" w14:textId="7360C5DC" w:rsidR="004E1834" w:rsidRDefault="004E1834" w:rsidP="00AB7C3E">
      <w:pPr>
        <w:pStyle w:val="FootnoteText"/>
        <w:jc w:val="both"/>
      </w:pPr>
      <w:r>
        <w:rPr>
          <w:rStyle w:val="FootnoteReference"/>
        </w:rPr>
        <w:footnoteRef/>
      </w:r>
      <w:r>
        <w:t xml:space="preserve"> Fee Award at 14.</w:t>
      </w:r>
    </w:p>
  </w:footnote>
  <w:footnote w:id="25">
    <w:p w14:paraId="7F4EF758" w14:textId="00952952" w:rsidR="00B660BE" w:rsidRDefault="00B660BE" w:rsidP="00AB7C3E">
      <w:pPr>
        <w:pStyle w:val="FootnoteText"/>
        <w:jc w:val="both"/>
      </w:pPr>
      <w:r>
        <w:rPr>
          <w:rStyle w:val="FootnoteReference"/>
        </w:rPr>
        <w:footnoteRef/>
      </w:r>
      <w:r>
        <w:t xml:space="preserve"> Fee Award at 15.</w:t>
      </w:r>
    </w:p>
  </w:footnote>
  <w:footnote w:id="26">
    <w:p w14:paraId="17202AC3" w14:textId="4B0359AC" w:rsidR="00610FB9" w:rsidRDefault="00610FB9" w:rsidP="00AB7C3E">
      <w:pPr>
        <w:pStyle w:val="FootnoteText"/>
        <w:jc w:val="both"/>
      </w:pPr>
      <w:r>
        <w:rPr>
          <w:rStyle w:val="FootnoteReference"/>
        </w:rPr>
        <w:footnoteRef/>
      </w:r>
      <w:r>
        <w:t xml:space="preserve"> Fee Award at 15.</w:t>
      </w:r>
    </w:p>
  </w:footnote>
  <w:footnote w:id="27">
    <w:p w14:paraId="54E0F88E" w14:textId="2D16F195" w:rsidR="008F0DEB" w:rsidRDefault="008F0DEB" w:rsidP="00AB7C3E">
      <w:pPr>
        <w:pStyle w:val="FootnoteText"/>
        <w:jc w:val="both"/>
      </w:pPr>
      <w:r>
        <w:rPr>
          <w:rStyle w:val="FootnoteReference"/>
        </w:rPr>
        <w:footnoteRef/>
      </w:r>
      <w:r>
        <w:t xml:space="preserve"> Fee Award at 16.</w:t>
      </w:r>
    </w:p>
  </w:footnote>
  <w:footnote w:id="28">
    <w:p w14:paraId="60111B73" w14:textId="6A4C8E2C" w:rsidR="00D16E97" w:rsidRDefault="00D16E97" w:rsidP="00AB7C3E">
      <w:pPr>
        <w:pStyle w:val="FootnoteText"/>
        <w:jc w:val="both"/>
      </w:pPr>
      <w:r>
        <w:rPr>
          <w:rStyle w:val="FootnoteReference"/>
        </w:rPr>
        <w:footnoteRef/>
      </w:r>
      <w:r>
        <w:t xml:space="preserve"> </w:t>
      </w:r>
      <w:r w:rsidR="00EC3B14">
        <w:t>The Arbitrator stated that t</w:t>
      </w:r>
      <w:r w:rsidR="00E7068C">
        <w:t>he Fitzpatrick Matrix is published by the U.S. Attorney’s Office for the District of Columbia as a replacement for the Laffey Matrix. Fee Award at 16. Similarly to the Laffey Matrix, the Fitzpatrick Matrix is “based on market rates for attorneys with similar levels/years of experience who practice in the Washington, D.C. region.” Fee Award at 16.</w:t>
      </w:r>
    </w:p>
  </w:footnote>
  <w:footnote w:id="29">
    <w:p w14:paraId="49D6AB80" w14:textId="361B3AFB" w:rsidR="00D16E97" w:rsidRDefault="00D16E97" w:rsidP="00AB7C3E">
      <w:pPr>
        <w:pStyle w:val="FootnoteText"/>
        <w:jc w:val="both"/>
      </w:pPr>
      <w:r>
        <w:rPr>
          <w:rStyle w:val="FootnoteReference"/>
        </w:rPr>
        <w:footnoteRef/>
      </w:r>
      <w:r>
        <w:t xml:space="preserve"> Fee Award at 16.</w:t>
      </w:r>
      <w:r w:rsidR="00F20AB1">
        <w:t xml:space="preserve"> The Arbitrator noted that </w:t>
      </w:r>
      <w:r w:rsidR="00A6166C">
        <w:t>it is well-settled that attorney fees’ calculations “must be based on the prevailing market rates, not on the rates charged by a specific attorney.” Fee Award at 16.</w:t>
      </w:r>
    </w:p>
  </w:footnote>
  <w:footnote w:id="30">
    <w:p w14:paraId="029CF162" w14:textId="78D3C6F4" w:rsidR="008B15BB" w:rsidRDefault="008B15BB" w:rsidP="00AB7C3E">
      <w:pPr>
        <w:pStyle w:val="FootnoteText"/>
        <w:jc w:val="both"/>
      </w:pPr>
      <w:r>
        <w:rPr>
          <w:rStyle w:val="FootnoteReference"/>
        </w:rPr>
        <w:footnoteRef/>
      </w:r>
      <w:r>
        <w:t xml:space="preserve"> Fee Award at 16-17.</w:t>
      </w:r>
    </w:p>
  </w:footnote>
  <w:footnote w:id="31">
    <w:p w14:paraId="1FD0769C" w14:textId="735E3326" w:rsidR="00131EDF" w:rsidRDefault="00131EDF" w:rsidP="00AB7C3E">
      <w:pPr>
        <w:pStyle w:val="FootnoteText"/>
        <w:jc w:val="both"/>
      </w:pPr>
      <w:r>
        <w:rPr>
          <w:rStyle w:val="FootnoteReference"/>
        </w:rPr>
        <w:footnoteRef/>
      </w:r>
      <w:r>
        <w:t xml:space="preserve"> Fee Award at 17. </w:t>
      </w:r>
    </w:p>
  </w:footnote>
  <w:footnote w:id="32">
    <w:p w14:paraId="5E7579D1" w14:textId="2BFA25C9" w:rsidR="006632B4" w:rsidRDefault="006632B4" w:rsidP="00AB7C3E">
      <w:pPr>
        <w:pStyle w:val="FootnoteText"/>
        <w:jc w:val="both"/>
      </w:pPr>
      <w:r>
        <w:rPr>
          <w:rStyle w:val="FootnoteReference"/>
        </w:rPr>
        <w:footnoteRef/>
      </w:r>
      <w:r>
        <w:t xml:space="preserve"> </w:t>
      </w:r>
      <w:r w:rsidR="005F5C7B">
        <w:rPr>
          <w:i/>
          <w:iCs/>
        </w:rPr>
        <w:t>Allen v. U.S. Postal Service</w:t>
      </w:r>
      <w:r w:rsidR="005F5C7B">
        <w:t xml:space="preserve">, 2 MSPR 420 (1980). </w:t>
      </w:r>
      <w:r w:rsidR="00823A4D">
        <w:t xml:space="preserve">Under </w:t>
      </w:r>
      <w:r>
        <w:t xml:space="preserve">the </w:t>
      </w:r>
      <w:r>
        <w:rPr>
          <w:i/>
          <w:iCs/>
        </w:rPr>
        <w:t xml:space="preserve">Allen </w:t>
      </w:r>
      <w:r w:rsidR="00842E5D">
        <w:t>standard</w:t>
      </w:r>
      <w:r w:rsidR="00823A4D">
        <w:t>, an award of attorney fees is warranted under the following circumstances</w:t>
      </w:r>
      <w:r>
        <w:t xml:space="preserve">: </w:t>
      </w:r>
    </w:p>
    <w:p w14:paraId="42BA7E64" w14:textId="77777777" w:rsidR="006632B4" w:rsidRDefault="006632B4" w:rsidP="00AB7C3E">
      <w:pPr>
        <w:pStyle w:val="FootnoteText"/>
        <w:jc w:val="both"/>
      </w:pPr>
    </w:p>
    <w:p w14:paraId="282D0DC4" w14:textId="0FE8799C" w:rsidR="009C1F2F" w:rsidRPr="009C1F2F" w:rsidRDefault="009C1F2F" w:rsidP="00AB7C3E">
      <w:pPr>
        <w:pStyle w:val="FootnoteText"/>
        <w:ind w:left="720"/>
        <w:jc w:val="both"/>
      </w:pPr>
      <w:r w:rsidRPr="009C1F2F">
        <w:t xml:space="preserve">1. Where the agency engaged in a </w:t>
      </w:r>
      <w:r w:rsidR="00823A4D">
        <w:t>“</w:t>
      </w:r>
      <w:r w:rsidRPr="009C1F2F">
        <w:t>prohibited personnel</w:t>
      </w:r>
      <w:r>
        <w:t xml:space="preserve"> </w:t>
      </w:r>
      <w:r w:rsidRPr="009C1F2F">
        <w:t>practice</w:t>
      </w:r>
      <w:r w:rsidR="00823A4D">
        <w:t>”</w:t>
      </w:r>
      <w:r w:rsidRPr="009C1F2F">
        <w:t xml:space="preserve"> (Section 7701 (g) (1));</w:t>
      </w:r>
    </w:p>
    <w:p w14:paraId="4062F3D3" w14:textId="4B8EC14E" w:rsidR="009C1F2F" w:rsidRPr="009C1F2F" w:rsidRDefault="009C1F2F" w:rsidP="00AB7C3E">
      <w:pPr>
        <w:pStyle w:val="FootnoteText"/>
        <w:ind w:left="720"/>
        <w:jc w:val="both"/>
      </w:pPr>
      <w:r w:rsidRPr="009C1F2F">
        <w:t xml:space="preserve">2. Where the agency's action was </w:t>
      </w:r>
      <w:r w:rsidR="00823A4D">
        <w:t>“</w:t>
      </w:r>
      <w:r w:rsidRPr="009C1F2F">
        <w:t>clearly without merit</w:t>
      </w:r>
      <w:r w:rsidR="00823A4D">
        <w:t>”</w:t>
      </w:r>
      <w:r w:rsidR="009425C2">
        <w:t xml:space="preserve"> </w:t>
      </w:r>
      <w:r w:rsidRPr="009C1F2F">
        <w:t xml:space="preserve">(Section 7701(g) (1)), or was </w:t>
      </w:r>
      <w:r w:rsidR="00823A4D">
        <w:t>“</w:t>
      </w:r>
      <w:r w:rsidRPr="009C1F2F">
        <w:t>wholly unfounded,</w:t>
      </w:r>
      <w:r w:rsidR="00823A4D">
        <w:t>”</w:t>
      </w:r>
      <w:r w:rsidRPr="009C1F2F">
        <w:t xml:space="preserve"> or the</w:t>
      </w:r>
      <w:r w:rsidR="009425C2">
        <w:t xml:space="preserve"> </w:t>
      </w:r>
      <w:r w:rsidRPr="009C1F2F">
        <w:t xml:space="preserve">employee is </w:t>
      </w:r>
      <w:r w:rsidR="00823A4D">
        <w:t>“</w:t>
      </w:r>
      <w:r w:rsidRPr="009C1F2F">
        <w:t>substantially innocent</w:t>
      </w:r>
      <w:r w:rsidR="00823A4D">
        <w:t>”</w:t>
      </w:r>
      <w:r w:rsidRPr="009C1F2F">
        <w:t xml:space="preserve"> of the charges</w:t>
      </w:r>
      <w:r w:rsidR="009425C2">
        <w:t xml:space="preserve"> </w:t>
      </w:r>
      <w:r w:rsidRPr="009C1F2F">
        <w:t>brought by the agency;</w:t>
      </w:r>
    </w:p>
    <w:p w14:paraId="7B885DF1" w14:textId="4E2B61E4" w:rsidR="009C1F2F" w:rsidRPr="009C1F2F" w:rsidRDefault="009C1F2F" w:rsidP="00AB7C3E">
      <w:pPr>
        <w:pStyle w:val="FootnoteText"/>
        <w:ind w:left="720"/>
        <w:jc w:val="both"/>
      </w:pPr>
      <w:r w:rsidRPr="009C1F2F">
        <w:t>3. Where the agency initiated the action against the</w:t>
      </w:r>
      <w:r w:rsidR="009425C2">
        <w:t xml:space="preserve"> </w:t>
      </w:r>
      <w:r w:rsidRPr="009C1F2F">
        <w:t xml:space="preserve">employee in </w:t>
      </w:r>
      <w:r w:rsidR="00823A4D">
        <w:t>“</w:t>
      </w:r>
      <w:r w:rsidRPr="009C1F2F">
        <w:t>bad faith,</w:t>
      </w:r>
      <w:r w:rsidR="00823A4D">
        <w:t>”</w:t>
      </w:r>
      <w:r w:rsidRPr="009C1F2F">
        <w:t xml:space="preserve"> including:</w:t>
      </w:r>
    </w:p>
    <w:p w14:paraId="554B3D60" w14:textId="386008A5" w:rsidR="009C1F2F" w:rsidRPr="009C1F2F" w:rsidRDefault="009C1F2F" w:rsidP="00AB7C3E">
      <w:pPr>
        <w:pStyle w:val="FootnoteText"/>
        <w:ind w:left="720" w:firstLine="720"/>
        <w:jc w:val="both"/>
      </w:pPr>
      <w:r w:rsidRPr="009C1F2F">
        <w:t>A. Where the agency's action was brought to</w:t>
      </w:r>
      <w:r w:rsidR="009425C2">
        <w:t xml:space="preserve"> </w:t>
      </w:r>
      <w:r w:rsidR="00823A4D">
        <w:t>“</w:t>
      </w:r>
      <w:r w:rsidRPr="009C1F2F">
        <w:t>harass</w:t>
      </w:r>
      <w:r w:rsidR="00823A4D">
        <w:t>”</w:t>
      </w:r>
      <w:r w:rsidRPr="009C1F2F">
        <w:t xml:space="preserve"> the employee:</w:t>
      </w:r>
    </w:p>
    <w:p w14:paraId="683AE2CB" w14:textId="55F5D306" w:rsidR="009C1F2F" w:rsidRPr="009C1F2F" w:rsidRDefault="009C1F2F" w:rsidP="00AB7C3E">
      <w:pPr>
        <w:pStyle w:val="FootnoteText"/>
        <w:ind w:left="1440"/>
        <w:jc w:val="both"/>
      </w:pPr>
      <w:r w:rsidRPr="009C1F2F">
        <w:t>B. Where the agency's action was brought to</w:t>
      </w:r>
      <w:r w:rsidR="009425C2">
        <w:t xml:space="preserve"> </w:t>
      </w:r>
      <w:r w:rsidR="00823A4D">
        <w:t>“</w:t>
      </w:r>
      <w:r w:rsidRPr="009C1F2F">
        <w:t>exert improper pressure on the employee t</w:t>
      </w:r>
      <w:r w:rsidR="009425C2">
        <w:t xml:space="preserve">o </w:t>
      </w:r>
      <w:r w:rsidRPr="009C1F2F">
        <w:t>act in certain ways</w:t>
      </w:r>
      <w:r w:rsidR="00823A4D">
        <w:t>”</w:t>
      </w:r>
      <w:r w:rsidRPr="009C1F2F">
        <w:t>;</w:t>
      </w:r>
    </w:p>
    <w:p w14:paraId="6CD111C7" w14:textId="6250F648" w:rsidR="009C1F2F" w:rsidRPr="009C1F2F" w:rsidRDefault="009C1F2F" w:rsidP="00AB7C3E">
      <w:pPr>
        <w:pStyle w:val="FootnoteText"/>
        <w:ind w:left="720"/>
        <w:jc w:val="both"/>
      </w:pPr>
      <w:r w:rsidRPr="009C1F2F">
        <w:t xml:space="preserve">4. Where the agency committed a </w:t>
      </w:r>
      <w:r w:rsidR="00823A4D">
        <w:t>“</w:t>
      </w:r>
      <w:r w:rsidRPr="009C1F2F">
        <w:t>gross procedural error</w:t>
      </w:r>
      <w:r w:rsidR="00823A4D">
        <w:t>”</w:t>
      </w:r>
      <w:r w:rsidR="009425C2">
        <w:t xml:space="preserve"> </w:t>
      </w:r>
      <w:r w:rsidRPr="009C1F2F">
        <w:t xml:space="preserve">which </w:t>
      </w:r>
      <w:r w:rsidR="00823A4D">
        <w:t>“</w:t>
      </w:r>
      <w:r w:rsidRPr="009C1F2F">
        <w:t>prolonged the proceeding</w:t>
      </w:r>
      <w:r w:rsidR="00823A4D">
        <w:t>”</w:t>
      </w:r>
      <w:r w:rsidRPr="009C1F2F">
        <w:t xml:space="preserve"> or </w:t>
      </w:r>
      <w:r w:rsidR="00823A4D">
        <w:t>“</w:t>
      </w:r>
      <w:r w:rsidRPr="009C1F2F">
        <w:t>severely prejudiced</w:t>
      </w:r>
      <w:r w:rsidR="00823A4D">
        <w:t>”</w:t>
      </w:r>
      <w:r w:rsidR="007C7BE6">
        <w:t xml:space="preserve"> </w:t>
      </w:r>
      <w:r w:rsidRPr="009C1F2F">
        <w:t>the employee;</w:t>
      </w:r>
    </w:p>
    <w:p w14:paraId="2861B215" w14:textId="3893EBBA" w:rsidR="006632B4" w:rsidRDefault="009C1F2F" w:rsidP="00AB7C3E">
      <w:pPr>
        <w:pStyle w:val="FootnoteText"/>
        <w:ind w:left="720"/>
        <w:jc w:val="both"/>
      </w:pPr>
      <w:r w:rsidRPr="009C1F2F">
        <w:t xml:space="preserve">5. Where the agency </w:t>
      </w:r>
      <w:r w:rsidR="00823A4D">
        <w:t>“</w:t>
      </w:r>
      <w:r w:rsidRPr="009C1F2F">
        <w:t>knew or should have known that it</w:t>
      </w:r>
      <w:r w:rsidR="009425C2">
        <w:t xml:space="preserve"> </w:t>
      </w:r>
      <w:r w:rsidRPr="009C1F2F">
        <w:t>would not prevail on the merits</w:t>
      </w:r>
      <w:r w:rsidR="00823A4D">
        <w:t>”</w:t>
      </w:r>
      <w:r w:rsidRPr="009C1F2F">
        <w:t xml:space="preserve"> when it brought the</w:t>
      </w:r>
      <w:r w:rsidR="009425C2">
        <w:t xml:space="preserve"> </w:t>
      </w:r>
      <w:r w:rsidRPr="009C1F2F">
        <w:t>proceeding.</w:t>
      </w:r>
      <w:r>
        <w:t xml:space="preserve"> </w:t>
      </w:r>
    </w:p>
    <w:p w14:paraId="714FADBF" w14:textId="77777777" w:rsidR="009425C2" w:rsidRDefault="009425C2" w:rsidP="00AB7C3E">
      <w:pPr>
        <w:pStyle w:val="FootnoteText"/>
        <w:ind w:left="720"/>
        <w:jc w:val="both"/>
      </w:pPr>
    </w:p>
    <w:p w14:paraId="239F4F5F" w14:textId="75EBD479" w:rsidR="009425C2" w:rsidRPr="009425C2" w:rsidRDefault="009425C2" w:rsidP="00AB7C3E">
      <w:pPr>
        <w:pStyle w:val="FootnoteText"/>
        <w:jc w:val="both"/>
      </w:pPr>
      <w:r>
        <w:rPr>
          <w:i/>
          <w:iCs/>
        </w:rPr>
        <w:t xml:space="preserve">Allen </w:t>
      </w:r>
      <w:r>
        <w:t>at 434-435.</w:t>
      </w:r>
    </w:p>
  </w:footnote>
  <w:footnote w:id="33">
    <w:p w14:paraId="272E8D79" w14:textId="3F2E3A51" w:rsidR="00E92AF9" w:rsidRDefault="00E92AF9" w:rsidP="00AB7C3E">
      <w:pPr>
        <w:pStyle w:val="FootnoteText"/>
        <w:jc w:val="both"/>
      </w:pPr>
      <w:r>
        <w:rPr>
          <w:rStyle w:val="FootnoteReference"/>
        </w:rPr>
        <w:footnoteRef/>
      </w:r>
      <w:r>
        <w:t xml:space="preserve"> Fee Award at 19 (citing Merits Award at 14-15). </w:t>
      </w:r>
    </w:p>
  </w:footnote>
  <w:footnote w:id="34">
    <w:p w14:paraId="4C2E7AF5" w14:textId="5EF0D3B1" w:rsidR="00DD09D4" w:rsidRDefault="00DD09D4" w:rsidP="00AB7C3E">
      <w:pPr>
        <w:pStyle w:val="FootnoteText"/>
        <w:jc w:val="both"/>
      </w:pPr>
      <w:r>
        <w:rPr>
          <w:rStyle w:val="FootnoteReference"/>
        </w:rPr>
        <w:footnoteRef/>
      </w:r>
      <w:r>
        <w:t xml:space="preserve"> Fee Award at 20. </w:t>
      </w:r>
    </w:p>
  </w:footnote>
  <w:footnote w:id="35">
    <w:p w14:paraId="31D789ED" w14:textId="0BB37FB4" w:rsidR="00260FE3" w:rsidRDefault="00260FE3" w:rsidP="00AB7C3E">
      <w:pPr>
        <w:pStyle w:val="FootnoteText"/>
        <w:jc w:val="both"/>
      </w:pPr>
      <w:r>
        <w:rPr>
          <w:rStyle w:val="FootnoteReference"/>
        </w:rPr>
        <w:footnoteRef/>
      </w:r>
      <w:r>
        <w:t xml:space="preserve"> Fee Award at 20.</w:t>
      </w:r>
    </w:p>
  </w:footnote>
  <w:footnote w:id="36">
    <w:p w14:paraId="1F77D1FE" w14:textId="5B4CAA9B" w:rsidR="000F5953" w:rsidRDefault="000F5953" w:rsidP="00AB7C3E">
      <w:pPr>
        <w:pStyle w:val="FootnoteText"/>
        <w:jc w:val="both"/>
      </w:pPr>
      <w:r>
        <w:rPr>
          <w:rStyle w:val="FootnoteReference"/>
        </w:rPr>
        <w:footnoteRef/>
      </w:r>
      <w:r>
        <w:t xml:space="preserve"> Fee Award at 20.</w:t>
      </w:r>
    </w:p>
  </w:footnote>
  <w:footnote w:id="37">
    <w:p w14:paraId="50B4A15E" w14:textId="170AE1EB" w:rsidR="001F2137" w:rsidRDefault="001F2137" w:rsidP="00AB7C3E">
      <w:pPr>
        <w:pStyle w:val="FootnoteText"/>
        <w:jc w:val="both"/>
      </w:pPr>
      <w:r>
        <w:rPr>
          <w:rStyle w:val="FootnoteReference"/>
        </w:rPr>
        <w:footnoteRef/>
      </w:r>
      <w:r>
        <w:t xml:space="preserve"> Board Rule 538.1</w:t>
      </w:r>
    </w:p>
  </w:footnote>
  <w:footnote w:id="38">
    <w:p w14:paraId="4310C280" w14:textId="1E7992B1" w:rsidR="00BC4412" w:rsidRDefault="00BC4412" w:rsidP="00AB7C3E">
      <w:pPr>
        <w:pStyle w:val="FootnoteText"/>
        <w:jc w:val="both"/>
      </w:pPr>
      <w:r>
        <w:rPr>
          <w:rStyle w:val="FootnoteReference"/>
        </w:rPr>
        <w:footnoteRef/>
      </w:r>
      <w:r>
        <w:t xml:space="preserve"> </w:t>
      </w:r>
      <w:r w:rsidR="00C06A9E" w:rsidRPr="00C06A9E">
        <w:t>D.C. Official Code § 1-605.02(6).</w:t>
      </w:r>
    </w:p>
  </w:footnote>
  <w:footnote w:id="39">
    <w:p w14:paraId="616E0ADE" w14:textId="300B218F" w:rsidR="00C06A9E" w:rsidRDefault="00C06A9E" w:rsidP="00AB7C3E">
      <w:pPr>
        <w:pStyle w:val="FootnoteText"/>
        <w:jc w:val="both"/>
      </w:pPr>
      <w:r>
        <w:rPr>
          <w:rStyle w:val="FootnoteReference"/>
        </w:rPr>
        <w:footnoteRef/>
      </w:r>
      <w:r>
        <w:t xml:space="preserve"> Request at </w:t>
      </w:r>
      <w:r w:rsidR="00C6001D">
        <w:t>4-17</w:t>
      </w:r>
      <w:r>
        <w:t>.</w:t>
      </w:r>
    </w:p>
  </w:footnote>
  <w:footnote w:id="40">
    <w:p w14:paraId="16A224B3" w14:textId="64F3BE97" w:rsidR="00E912EE" w:rsidRDefault="00E912EE" w:rsidP="00AB7C3E">
      <w:pPr>
        <w:pStyle w:val="FootnoteText"/>
        <w:jc w:val="both"/>
      </w:pPr>
      <w:r>
        <w:rPr>
          <w:rStyle w:val="FootnoteReference"/>
        </w:rPr>
        <w:footnoteRef/>
      </w:r>
      <w:r>
        <w:t xml:space="preserve"> </w:t>
      </w:r>
      <w:r w:rsidR="00317E08" w:rsidRPr="00317E08">
        <w:rPr>
          <w:i/>
          <w:iCs/>
        </w:rPr>
        <w:t>FEMS v. AFGE, Local 3721</w:t>
      </w:r>
      <w:r w:rsidR="00317E08" w:rsidRPr="00317E08">
        <w:t>, 51 D.C. Reg. 4158, Slip Op. No. 728, PERB Case No. 02-A-08 (2004).</w:t>
      </w:r>
    </w:p>
  </w:footnote>
  <w:footnote w:id="41">
    <w:p w14:paraId="743A410E" w14:textId="3399E3C3" w:rsidR="00DD7313" w:rsidRDefault="00DD7313" w:rsidP="00AB7C3E">
      <w:pPr>
        <w:pStyle w:val="FootnoteText"/>
        <w:jc w:val="both"/>
      </w:pPr>
      <w:r>
        <w:rPr>
          <w:rStyle w:val="FootnoteReference"/>
        </w:rPr>
        <w:footnoteRef/>
      </w:r>
      <w:r>
        <w:t xml:space="preserve"> </w:t>
      </w:r>
      <w:r w:rsidR="000E2028" w:rsidRPr="000E2028">
        <w:rPr>
          <w:i/>
          <w:iCs/>
        </w:rPr>
        <w:t>MPD v. FOP/MPD Labor Comm.</w:t>
      </w:r>
      <w:r w:rsidR="000E2028" w:rsidRPr="000E2028">
        <w:t>, 47 D.C. Reg. 717, Slip Op. No. 633 at 2, PERB Case No. 00-A-04 (2000)</w:t>
      </w:r>
      <w:r w:rsidR="000E2028">
        <w:t>.</w:t>
      </w:r>
    </w:p>
  </w:footnote>
  <w:footnote w:id="42">
    <w:p w14:paraId="2699F266" w14:textId="7CCF1507" w:rsidR="00CD3F2B" w:rsidRDefault="00CD3F2B" w:rsidP="00AB7C3E">
      <w:pPr>
        <w:pStyle w:val="FootnoteText"/>
        <w:jc w:val="both"/>
      </w:pPr>
      <w:r>
        <w:rPr>
          <w:rStyle w:val="FootnoteReference"/>
        </w:rPr>
        <w:footnoteRef/>
      </w:r>
      <w:r>
        <w:t xml:space="preserve"> </w:t>
      </w:r>
      <w:r w:rsidR="00AB7C3E" w:rsidRPr="00CF3761">
        <w:rPr>
          <w:i/>
          <w:iCs/>
        </w:rPr>
        <w:t>Fraternal Order of Police/Dep't of Corr. Labor Comm. v. District of Columbia Pub. Emp. Relations Bd.</w:t>
      </w:r>
      <w:r w:rsidR="00AB7C3E" w:rsidRPr="00AB7C3E">
        <w:t>, 973</w:t>
      </w:r>
      <w:r w:rsidR="00AB7C3E">
        <w:t xml:space="preserve"> </w:t>
      </w:r>
      <w:r w:rsidR="00AB7C3E" w:rsidRPr="00AB7C3E">
        <w:t xml:space="preserve">A.2d </w:t>
      </w:r>
      <w:r w:rsidR="00AB7C3E">
        <w:t xml:space="preserve">  </w:t>
      </w:r>
      <w:r w:rsidR="00AB7C3E" w:rsidRPr="00AB7C3E">
        <w:t>174, 177 (D.C.</w:t>
      </w:r>
      <w:r w:rsidR="00AB7C3E">
        <w:t xml:space="preserve"> </w:t>
      </w:r>
      <w:r w:rsidR="00AB7C3E" w:rsidRPr="00AB7C3E">
        <w:t>2009</w:t>
      </w:r>
      <w:r w:rsidR="00AB7C3E">
        <w:t>).</w:t>
      </w:r>
    </w:p>
  </w:footnote>
  <w:footnote w:id="43">
    <w:p w14:paraId="46E1DC4E" w14:textId="275E13E7" w:rsidR="00B0446C" w:rsidRDefault="00B0446C" w:rsidP="00AB7C3E">
      <w:pPr>
        <w:pStyle w:val="FootnoteText"/>
        <w:jc w:val="both"/>
      </w:pPr>
      <w:r>
        <w:rPr>
          <w:rStyle w:val="FootnoteReference"/>
        </w:rPr>
        <w:footnoteRef/>
      </w:r>
      <w:r>
        <w:t xml:space="preserve"> Request at 4-</w:t>
      </w:r>
      <w:r w:rsidR="00540876">
        <w:t>10</w:t>
      </w:r>
      <w:r>
        <w:t>.</w:t>
      </w:r>
    </w:p>
  </w:footnote>
  <w:footnote w:id="44">
    <w:p w14:paraId="66806B8C" w14:textId="4694AD34" w:rsidR="008B3B08" w:rsidRDefault="008B3B08" w:rsidP="00AB7C3E">
      <w:pPr>
        <w:pStyle w:val="FootnoteText"/>
        <w:jc w:val="both"/>
      </w:pPr>
      <w:r>
        <w:rPr>
          <w:rStyle w:val="FootnoteReference"/>
        </w:rPr>
        <w:footnoteRef/>
      </w:r>
      <w:r>
        <w:t xml:space="preserve"> </w:t>
      </w:r>
      <w:r w:rsidR="00ED7825">
        <w:t xml:space="preserve">Request at </w:t>
      </w:r>
      <w:r w:rsidR="00540876">
        <w:t>10</w:t>
      </w:r>
      <w:r w:rsidR="00ED7825">
        <w:t>-</w:t>
      </w:r>
      <w:r w:rsidR="00381FA2">
        <w:t>15</w:t>
      </w:r>
      <w:r w:rsidR="00ED7825">
        <w:t>.</w:t>
      </w:r>
    </w:p>
  </w:footnote>
  <w:footnote w:id="45">
    <w:p w14:paraId="3848C429" w14:textId="78175B85" w:rsidR="00993DF2" w:rsidRDefault="00993DF2" w:rsidP="00AB7C3E">
      <w:pPr>
        <w:pStyle w:val="FootnoteText"/>
        <w:jc w:val="both"/>
      </w:pPr>
      <w:r>
        <w:rPr>
          <w:rStyle w:val="FootnoteReference"/>
        </w:rPr>
        <w:footnoteRef/>
      </w:r>
      <w:r>
        <w:t xml:space="preserve"> Request at 15-</w:t>
      </w:r>
      <w:r w:rsidR="00381FA2">
        <w:t>17.</w:t>
      </w:r>
    </w:p>
  </w:footnote>
  <w:footnote w:id="46">
    <w:p w14:paraId="26E152AE" w14:textId="40145F4B" w:rsidR="002C1BF0" w:rsidRDefault="002C1BF0">
      <w:pPr>
        <w:pStyle w:val="FootnoteText"/>
      </w:pPr>
      <w:r>
        <w:rPr>
          <w:rStyle w:val="FootnoteReference"/>
        </w:rPr>
        <w:footnoteRef/>
      </w:r>
      <w:r>
        <w:t xml:space="preserve"> Request at </w:t>
      </w:r>
      <w:r w:rsidR="00424ACB">
        <w:t>4-15.</w:t>
      </w:r>
    </w:p>
  </w:footnote>
  <w:footnote w:id="47">
    <w:p w14:paraId="2A919B33" w14:textId="60F16010" w:rsidR="00EB48BA" w:rsidRDefault="00EB48BA">
      <w:pPr>
        <w:pStyle w:val="FootnoteText"/>
      </w:pPr>
      <w:r>
        <w:rPr>
          <w:rStyle w:val="FootnoteReference"/>
        </w:rPr>
        <w:footnoteRef/>
      </w:r>
      <w:r>
        <w:t xml:space="preserve"> Request at 4-5 (citing D.C. Official Code § 1-632.02</w:t>
      </w:r>
      <w:r w:rsidR="000325A0">
        <w:t>).</w:t>
      </w:r>
    </w:p>
  </w:footnote>
  <w:footnote w:id="48">
    <w:p w14:paraId="42AF5953" w14:textId="0911A833" w:rsidR="00945A42" w:rsidRDefault="00945A42">
      <w:pPr>
        <w:pStyle w:val="FootnoteText"/>
      </w:pPr>
      <w:r>
        <w:rPr>
          <w:rStyle w:val="FootnoteReference"/>
        </w:rPr>
        <w:footnoteRef/>
      </w:r>
      <w:r>
        <w:t xml:space="preserve"> Request at 6.</w:t>
      </w:r>
    </w:p>
  </w:footnote>
  <w:footnote w:id="49">
    <w:p w14:paraId="507E0FF5" w14:textId="38751DA4" w:rsidR="00480A0D" w:rsidRDefault="00480A0D">
      <w:pPr>
        <w:pStyle w:val="FootnoteText"/>
      </w:pPr>
      <w:r>
        <w:rPr>
          <w:rStyle w:val="FootnoteReference"/>
        </w:rPr>
        <w:footnoteRef/>
      </w:r>
      <w:r>
        <w:t xml:space="preserve"> Request at 10.</w:t>
      </w:r>
    </w:p>
  </w:footnote>
  <w:footnote w:id="50">
    <w:p w14:paraId="655719A6" w14:textId="6E05C49A" w:rsidR="00AD180F" w:rsidRPr="00964888" w:rsidRDefault="00AD180F">
      <w:pPr>
        <w:pStyle w:val="FootnoteText"/>
      </w:pPr>
      <w:r>
        <w:rPr>
          <w:rStyle w:val="FootnoteReference"/>
        </w:rPr>
        <w:footnoteRef/>
      </w:r>
      <w:r>
        <w:t xml:space="preserve"> </w:t>
      </w:r>
      <w:r w:rsidR="00721A83">
        <w:rPr>
          <w:i/>
          <w:iCs/>
        </w:rPr>
        <w:t xml:space="preserve">See </w:t>
      </w:r>
      <w:r w:rsidR="0058372A">
        <w:rPr>
          <w:i/>
          <w:iCs/>
        </w:rPr>
        <w:t>Z</w:t>
      </w:r>
      <w:r w:rsidR="003B15A5">
        <w:rPr>
          <w:i/>
          <w:iCs/>
        </w:rPr>
        <w:t xml:space="preserve">enian v. D.C. Off. </w:t>
      </w:r>
      <w:r w:rsidR="00E00558">
        <w:rPr>
          <w:i/>
          <w:iCs/>
        </w:rPr>
        <w:t>Of Empl. Appeals</w:t>
      </w:r>
      <w:r w:rsidR="00E00558">
        <w:t>, 598 A.2d 1161, 1165 (D.C. 1991) (</w:t>
      </w:r>
      <w:r w:rsidR="00E108A6">
        <w:t xml:space="preserve">holding that </w:t>
      </w:r>
      <w:r w:rsidR="00AC48BC">
        <w:t xml:space="preserve">attorney fees “constitute ‘a concrete personnel entitlement or benefit that the District must </w:t>
      </w:r>
      <w:proofErr w:type="gramStart"/>
      <w:r w:rsidR="00AC48BC">
        <w:t>retain, or</w:t>
      </w:r>
      <w:proofErr w:type="gramEnd"/>
      <w:r w:rsidR="00AC48BC">
        <w:t xml:space="preserve"> replace with an equivalent alternative pursuant to [the Home Rule Act].’”);</w:t>
      </w:r>
      <w:r w:rsidR="0058372A">
        <w:rPr>
          <w:i/>
          <w:iCs/>
        </w:rPr>
        <w:t xml:space="preserve"> </w:t>
      </w:r>
      <w:r w:rsidR="00757E74">
        <w:rPr>
          <w:i/>
          <w:iCs/>
        </w:rPr>
        <w:t>Am. Fed. Of Gov. Empl. v. WASA</w:t>
      </w:r>
      <w:r w:rsidR="00757E74">
        <w:t xml:space="preserve">, 942 A.2d 1108, </w:t>
      </w:r>
      <w:r w:rsidR="00D31582">
        <w:t xml:space="preserve">1112 (D.C. 2007) (affirming that the BPA continues to apply to District employees under the Broader CMPA policies of maintaining all </w:t>
      </w:r>
      <w:r w:rsidR="00823A4D">
        <w:t>“</w:t>
      </w:r>
      <w:r w:rsidR="00D31582">
        <w:t>concrete personnel entitlements or benefits</w:t>
      </w:r>
      <w:r w:rsidR="00926B30">
        <w:t xml:space="preserve"> ….”</w:t>
      </w:r>
      <w:r w:rsidR="00D31582">
        <w:t>);</w:t>
      </w:r>
      <w:r w:rsidR="004647BD">
        <w:rPr>
          <w:i/>
          <w:iCs/>
        </w:rPr>
        <w:t xml:space="preserve"> </w:t>
      </w:r>
      <w:r w:rsidR="003D675E">
        <w:rPr>
          <w:i/>
          <w:iCs/>
        </w:rPr>
        <w:t>Am. Fed. of State, County and Municipal Empl.</w:t>
      </w:r>
      <w:r w:rsidR="00E4448F">
        <w:rPr>
          <w:i/>
          <w:iCs/>
        </w:rPr>
        <w:t xml:space="preserve">, District Council 20, Local 2087, AFL-CIO v. </w:t>
      </w:r>
      <w:r w:rsidR="00F55EAA">
        <w:rPr>
          <w:i/>
          <w:iCs/>
        </w:rPr>
        <w:t>UDC</w:t>
      </w:r>
      <w:r w:rsidR="00F55EAA">
        <w:t>, 166 A.3d 967,</w:t>
      </w:r>
      <w:r w:rsidR="00525F4A">
        <w:t xml:space="preserve"> 970 (fn. 5)</w:t>
      </w:r>
      <w:r w:rsidR="00F55EAA">
        <w:t xml:space="preserve"> </w:t>
      </w:r>
      <w:r w:rsidR="00164CBA">
        <w:t>(D.C. 2017) (</w:t>
      </w:r>
      <w:r w:rsidR="00964888">
        <w:t xml:space="preserve">supporting the proposition that </w:t>
      </w:r>
      <w:r w:rsidR="00A16E57">
        <w:t>“</w:t>
      </w:r>
      <w:r w:rsidR="00964888">
        <w:t>on the issue of employee mitigation, the ‘DPM’s [mitigation] provision does not abridge but merely explains the common law mitigation requirement that has long been read into the [BPA].</w:t>
      </w:r>
      <w:r w:rsidR="000E7B64">
        <w:t>’</w:t>
      </w:r>
      <w:r w:rsidR="00964888">
        <w:t>”)</w:t>
      </w:r>
      <w:r w:rsidR="005113B0">
        <w:t>.</w:t>
      </w:r>
    </w:p>
  </w:footnote>
  <w:footnote w:id="51">
    <w:p w14:paraId="23CCCDFE" w14:textId="0BB0F855" w:rsidR="00DA0F6E" w:rsidRPr="00DA0F6E" w:rsidRDefault="00DA0F6E">
      <w:pPr>
        <w:pStyle w:val="FootnoteText"/>
      </w:pPr>
      <w:r>
        <w:rPr>
          <w:rStyle w:val="FootnoteReference"/>
        </w:rPr>
        <w:footnoteRef/>
      </w:r>
      <w:r>
        <w:t xml:space="preserve"> </w:t>
      </w:r>
      <w:r>
        <w:rPr>
          <w:i/>
          <w:iCs/>
        </w:rPr>
        <w:t>Zenian</w:t>
      </w:r>
      <w:r>
        <w:t xml:space="preserve"> at </w:t>
      </w:r>
      <w:r w:rsidR="006A7AA4">
        <w:t>1165.</w:t>
      </w:r>
    </w:p>
  </w:footnote>
  <w:footnote w:id="52">
    <w:p w14:paraId="76410B74" w14:textId="415636B1" w:rsidR="003103A6" w:rsidRDefault="003103A6">
      <w:pPr>
        <w:pStyle w:val="FootnoteText"/>
      </w:pPr>
      <w:r>
        <w:rPr>
          <w:rStyle w:val="FootnoteReference"/>
        </w:rPr>
        <w:footnoteRef/>
      </w:r>
      <w:r>
        <w:t xml:space="preserve"> D.C. Official Code § 1-301.88a. Authority over personnel. </w:t>
      </w:r>
    </w:p>
  </w:footnote>
  <w:footnote w:id="53">
    <w:p w14:paraId="5CC80AAA" w14:textId="7E1F1330" w:rsidR="00E11EE0" w:rsidRPr="004A5CA0" w:rsidRDefault="00E11EE0">
      <w:pPr>
        <w:pStyle w:val="FootnoteText"/>
      </w:pPr>
      <w:r>
        <w:rPr>
          <w:rStyle w:val="FootnoteReference"/>
        </w:rPr>
        <w:footnoteRef/>
      </w:r>
      <w:r>
        <w:t xml:space="preserve"> </w:t>
      </w:r>
      <w:r w:rsidR="006A412E">
        <w:rPr>
          <w:i/>
          <w:iCs/>
        </w:rPr>
        <w:t>DCHA v. AFGE, Local 2725</w:t>
      </w:r>
      <w:r w:rsidR="006A412E">
        <w:t xml:space="preserve">, </w:t>
      </w:r>
      <w:r w:rsidR="004622BB">
        <w:t xml:space="preserve">62 D.C. Reg. 2893, Slip Op. No. 1503 at 5, PERB Case No. 14-A-07 (2015) (holding that </w:t>
      </w:r>
      <w:r w:rsidR="00823A4D">
        <w:t xml:space="preserve">the </w:t>
      </w:r>
      <w:r w:rsidR="00B54A41">
        <w:t xml:space="preserve">agency’s implementation of its own regulations was of little consequence because there was no trigger for </w:t>
      </w:r>
      <w:r w:rsidR="00823A4D">
        <w:t>an</w:t>
      </w:r>
      <w:r w:rsidR="00B54A41">
        <w:t xml:space="preserve"> exemption from the general provisions of the CMPA); </w:t>
      </w:r>
      <w:r w:rsidR="00B54A41">
        <w:rPr>
          <w:i/>
          <w:iCs/>
        </w:rPr>
        <w:t>see also</w:t>
      </w:r>
      <w:r w:rsidR="006A412E">
        <w:t xml:space="preserve"> </w:t>
      </w:r>
      <w:r w:rsidR="004A5CA0">
        <w:rPr>
          <w:i/>
          <w:iCs/>
        </w:rPr>
        <w:t>FOP/PSD Labor Comm. v. DGS</w:t>
      </w:r>
      <w:r w:rsidR="004A5CA0">
        <w:t xml:space="preserve">, </w:t>
      </w:r>
      <w:r w:rsidR="006045B6">
        <w:t>67 D.C. Reg. 7031, Slip Op. No. 1739, PERB Case No. 18-U-01 (</w:t>
      </w:r>
      <w:r w:rsidR="003A6F6A">
        <w:t>2020) (</w:t>
      </w:r>
      <w:r w:rsidR="00A67E4D">
        <w:t xml:space="preserve">holding that </w:t>
      </w:r>
      <w:r w:rsidR="00341D26">
        <w:t>“</w:t>
      </w:r>
      <w:r w:rsidR="00A67E4D">
        <w:t xml:space="preserve">the DPM </w:t>
      </w:r>
      <w:r w:rsidR="00341D26">
        <w:t>‘</w:t>
      </w:r>
      <w:r w:rsidR="00A67E4D">
        <w:t>provides an interpretation of the [Back Pay Act] in concert with federal holdings</w:t>
      </w:r>
      <w:r w:rsidR="00341D26">
        <w:t>’</w:t>
      </w:r>
      <w:r w:rsidR="00A67E4D">
        <w:t xml:space="preserve"> and therefore does not conflict with the ‘jump back’ provisions incorp</w:t>
      </w:r>
      <w:r w:rsidR="00FF295C">
        <w:t xml:space="preserve">oration of the Back Pay Act into the CMPA.”). </w:t>
      </w:r>
    </w:p>
  </w:footnote>
  <w:footnote w:id="54">
    <w:p w14:paraId="7ECCCA3C" w14:textId="60E94328" w:rsidR="009237EB" w:rsidRPr="006E54E6" w:rsidRDefault="009237EB">
      <w:pPr>
        <w:pStyle w:val="FootnoteText"/>
      </w:pPr>
      <w:r>
        <w:rPr>
          <w:rStyle w:val="FootnoteReference"/>
        </w:rPr>
        <w:footnoteRef/>
      </w:r>
      <w:r>
        <w:t xml:space="preserve"> Request at 15 (citing 5 U.S.C. 5596(a)(ii)</w:t>
      </w:r>
      <w:r w:rsidR="006E54E6">
        <w:t xml:space="preserve">; </w:t>
      </w:r>
      <w:r w:rsidR="006E54E6">
        <w:rPr>
          <w:i/>
          <w:iCs/>
        </w:rPr>
        <w:t>FOP/DOC Labor Comm. v. D.C. Pub. Empl. Rels. Bd.</w:t>
      </w:r>
      <w:r w:rsidR="006E54E6">
        <w:t>, 973 A.2d 174, 179 (D.C. 2009)</w:t>
      </w:r>
      <w:r w:rsidR="00496113">
        <w:t xml:space="preserve">. </w:t>
      </w:r>
    </w:p>
  </w:footnote>
  <w:footnote w:id="55">
    <w:p w14:paraId="20D2FA96" w14:textId="5E923DAA" w:rsidR="000F6FC3" w:rsidRDefault="000F6FC3">
      <w:pPr>
        <w:pStyle w:val="FootnoteText"/>
      </w:pPr>
      <w:r>
        <w:rPr>
          <w:rStyle w:val="FootnoteReference"/>
        </w:rPr>
        <w:footnoteRef/>
      </w:r>
      <w:r>
        <w:t xml:space="preserve"> Fee Award at 15-16.</w:t>
      </w:r>
    </w:p>
  </w:footnote>
  <w:footnote w:id="56">
    <w:p w14:paraId="56BD8AE1" w14:textId="37F53ECC" w:rsidR="00CE1DAF" w:rsidRDefault="00CE1DAF">
      <w:pPr>
        <w:pStyle w:val="FootnoteText"/>
      </w:pPr>
      <w:r>
        <w:rPr>
          <w:rStyle w:val="FootnoteReference"/>
        </w:rPr>
        <w:footnoteRef/>
      </w:r>
      <w:r>
        <w:t xml:space="preserve"> </w:t>
      </w:r>
      <w:r w:rsidR="0015069E">
        <w:t>Fee Award</w:t>
      </w:r>
      <w:r>
        <w:t xml:space="preserve"> at 13-1</w:t>
      </w:r>
      <w:r w:rsidR="005B55E5">
        <w:t>6</w:t>
      </w:r>
      <w:r>
        <w:t>.</w:t>
      </w:r>
    </w:p>
  </w:footnote>
  <w:footnote w:id="57">
    <w:p w14:paraId="2C175450" w14:textId="286E199E" w:rsidR="00E27EA0" w:rsidRDefault="00E27EA0">
      <w:pPr>
        <w:pStyle w:val="FootnoteText"/>
      </w:pPr>
      <w:r>
        <w:rPr>
          <w:rStyle w:val="FootnoteReference"/>
        </w:rPr>
        <w:footnoteRef/>
      </w:r>
      <w:r>
        <w:t xml:space="preserve"> </w:t>
      </w:r>
      <w:r>
        <w:rPr>
          <w:i/>
          <w:iCs/>
        </w:rPr>
        <w:t>Hensley v. Eckerhart</w:t>
      </w:r>
      <w:r>
        <w:t xml:space="preserve">, </w:t>
      </w:r>
      <w:r w:rsidRPr="002A7D42">
        <w:t>461 U.S. 424</w:t>
      </w:r>
      <w:r>
        <w:t>, 434 (1983).</w:t>
      </w:r>
    </w:p>
  </w:footnote>
  <w:footnote w:id="58">
    <w:p w14:paraId="0DA2A510" w14:textId="77777777" w:rsidR="00687445" w:rsidRPr="00D62177" w:rsidRDefault="00687445" w:rsidP="00687445">
      <w:pPr>
        <w:pStyle w:val="FootnoteText"/>
      </w:pPr>
      <w:r>
        <w:rPr>
          <w:rStyle w:val="FootnoteReference"/>
        </w:rPr>
        <w:footnoteRef/>
      </w:r>
      <w:r w:rsidRPr="00D62177">
        <w:t xml:space="preserve"> </w:t>
      </w:r>
      <w:r w:rsidRPr="006569E1">
        <w:rPr>
          <w:i/>
          <w:iCs/>
        </w:rPr>
        <w:t>Hensley</w:t>
      </w:r>
      <w:r w:rsidRPr="006569E1">
        <w:t>, 461 U.S. 424 at 433.</w:t>
      </w:r>
    </w:p>
  </w:footnote>
  <w:footnote w:id="59">
    <w:p w14:paraId="20EAFAC0" w14:textId="77777777" w:rsidR="00164792" w:rsidRPr="002062B9" w:rsidRDefault="00164792" w:rsidP="00164792">
      <w:pPr>
        <w:pStyle w:val="FootnoteText"/>
      </w:pPr>
      <w:r>
        <w:rPr>
          <w:rStyle w:val="FootnoteReference"/>
        </w:rPr>
        <w:footnoteRef/>
      </w:r>
      <w:r>
        <w:t xml:space="preserve"> </w:t>
      </w:r>
      <w:r>
        <w:rPr>
          <w:i/>
          <w:iCs/>
        </w:rPr>
        <w:t>Frankel v. D.C. Office for Planning &amp; Econ. Dev.</w:t>
      </w:r>
      <w:r>
        <w:t xml:space="preserve">, 110 A.3d 553, 560 (D.C. 2015); </w:t>
      </w:r>
      <w:r>
        <w:rPr>
          <w:i/>
          <w:iCs/>
        </w:rPr>
        <w:t>see also Nat. Mot. By Sandra, Inc. v. District of Columbia Com’n on Human Rights</w:t>
      </w:r>
      <w:r>
        <w:t xml:space="preserve">, 726 A.2d 194, 198 (D.C. 1999) (holding that even though fees related to work on an unsuccessful claim generally are not recoverable, “it is often impossible to distinguish hours spent on individual claims that are ultimately unsuccessful from time spent on the overall successful litigation ….”). </w:t>
      </w:r>
    </w:p>
  </w:footnote>
  <w:footnote w:id="60">
    <w:p w14:paraId="71A25DA8" w14:textId="6C6C2B56" w:rsidR="00164792" w:rsidRPr="00B06887" w:rsidRDefault="00164792" w:rsidP="00164792">
      <w:pPr>
        <w:pStyle w:val="FootnoteText"/>
      </w:pPr>
      <w:r>
        <w:rPr>
          <w:rStyle w:val="FootnoteReference"/>
        </w:rPr>
        <w:footnoteRef/>
      </w:r>
      <w:r w:rsidRPr="00B06887">
        <w:t xml:space="preserve"> </w:t>
      </w:r>
      <w:r w:rsidRPr="000B3227">
        <w:rPr>
          <w:i/>
          <w:iCs/>
        </w:rPr>
        <w:t>Id.</w:t>
      </w:r>
      <w:r w:rsidRPr="000B3227">
        <w:t xml:space="preserve"> at </w:t>
      </w:r>
      <w:r w:rsidR="002F4F6C">
        <w:t>560-</w:t>
      </w:r>
      <w:r w:rsidRPr="000B3227">
        <w:t xml:space="preserve">561 (citing </w:t>
      </w:r>
      <w:r w:rsidRPr="000B3227">
        <w:rPr>
          <w:i/>
          <w:iCs/>
        </w:rPr>
        <w:t>Hensley</w:t>
      </w:r>
      <w:r>
        <w:t>, 461 U.S. 424</w:t>
      </w:r>
      <w:r w:rsidRPr="000B3227">
        <w:rPr>
          <w:i/>
          <w:iCs/>
        </w:rPr>
        <w:t xml:space="preserve"> </w:t>
      </w:r>
      <w:r w:rsidRPr="000B3227">
        <w:t>a</w:t>
      </w:r>
      <w:r>
        <w:t>t 448) (Brennan, J., concurring in part and dissenting in part)</w:t>
      </w:r>
      <w:r w:rsidR="007F4C88">
        <w:t>.</w:t>
      </w:r>
    </w:p>
  </w:footnote>
  <w:footnote w:id="61">
    <w:p w14:paraId="33A31A8C" w14:textId="77777777" w:rsidR="00687445" w:rsidRDefault="00687445" w:rsidP="00687445">
      <w:pPr>
        <w:pStyle w:val="FootnoteText"/>
      </w:pPr>
      <w:r>
        <w:rPr>
          <w:rStyle w:val="FootnoteReference"/>
        </w:rPr>
        <w:footnoteRef/>
      </w:r>
      <w:r>
        <w:t xml:space="preserve"> Fee Award at 13-17.</w:t>
      </w:r>
    </w:p>
  </w:footnote>
  <w:footnote w:id="62">
    <w:p w14:paraId="5D76D864" w14:textId="77777777" w:rsidR="00684E71" w:rsidRDefault="00684E71" w:rsidP="00684E71">
      <w:pPr>
        <w:pStyle w:val="FootnoteText"/>
      </w:pPr>
      <w:r>
        <w:rPr>
          <w:rStyle w:val="FootnoteReference"/>
        </w:rPr>
        <w:footnoteRef/>
      </w:r>
      <w:r>
        <w:t xml:space="preserve"> Fee Award at 16.</w:t>
      </w:r>
    </w:p>
  </w:footnote>
  <w:footnote w:id="63">
    <w:p w14:paraId="2673CC20" w14:textId="77777777" w:rsidR="003D3A32" w:rsidRDefault="003D3A32" w:rsidP="003D3A32">
      <w:pPr>
        <w:pStyle w:val="FootnoteText"/>
      </w:pPr>
      <w:r>
        <w:rPr>
          <w:rStyle w:val="FootnoteReference"/>
        </w:rPr>
        <w:footnoteRef/>
      </w:r>
      <w:r>
        <w:t xml:space="preserve"> Fee Award at 17.</w:t>
      </w:r>
    </w:p>
  </w:footnote>
  <w:footnote w:id="64">
    <w:p w14:paraId="436AB4A7" w14:textId="77777777" w:rsidR="003D3A32" w:rsidRDefault="003D3A32" w:rsidP="003D3A32">
      <w:pPr>
        <w:pStyle w:val="FootnoteText"/>
      </w:pPr>
      <w:r>
        <w:rPr>
          <w:rStyle w:val="FootnoteReference"/>
        </w:rPr>
        <w:footnoteRef/>
      </w:r>
      <w:r>
        <w:t xml:space="preserve"> Fee Award at 17.</w:t>
      </w:r>
    </w:p>
  </w:footnote>
  <w:footnote w:id="65">
    <w:p w14:paraId="2B3B3EAC" w14:textId="77777777" w:rsidR="003D3A32" w:rsidRPr="003B7BC8" w:rsidRDefault="003D3A32" w:rsidP="003D3A32">
      <w:pPr>
        <w:pStyle w:val="FootnoteText"/>
      </w:pPr>
      <w:r>
        <w:rPr>
          <w:rStyle w:val="FootnoteReference"/>
        </w:rPr>
        <w:footnoteRef/>
      </w:r>
      <w:r w:rsidRPr="003B7BC8">
        <w:t xml:space="preserve"> </w:t>
      </w:r>
      <w:r w:rsidRPr="006569E1">
        <w:rPr>
          <w:i/>
          <w:iCs/>
        </w:rPr>
        <w:t>MPD v. FOP/MPD L</w:t>
      </w:r>
      <w:r>
        <w:rPr>
          <w:i/>
          <w:iCs/>
        </w:rPr>
        <w:t>abor Comm.</w:t>
      </w:r>
      <w:r>
        <w:t xml:space="preserve">, 60 D.C. Reg. 3052, Slip Op. No. 1365 at 5, PERB Case No. 11-A-02 (2013). </w:t>
      </w:r>
    </w:p>
  </w:footnote>
  <w:footnote w:id="66">
    <w:p w14:paraId="6FA13A04" w14:textId="77777777" w:rsidR="003D3A32" w:rsidRPr="00575186" w:rsidRDefault="003D3A32" w:rsidP="003D3A32">
      <w:pPr>
        <w:pStyle w:val="FootnoteText"/>
      </w:pPr>
      <w:r>
        <w:rPr>
          <w:rStyle w:val="FootnoteReference"/>
        </w:rPr>
        <w:footnoteRef/>
      </w:r>
      <w:r>
        <w:t xml:space="preserve"> </w:t>
      </w:r>
      <w:r>
        <w:rPr>
          <w:i/>
          <w:iCs/>
        </w:rPr>
        <w:t>Hensley</w:t>
      </w:r>
      <w:r>
        <w:t>, 461 U.S. 424 at 440 (finding that “[w]</w:t>
      </w:r>
      <w:r w:rsidRPr="00575186">
        <w:t>here a lawsuit consists of related claims, a plaintiff who has won substantial relief should not have his attorney's fee reduced simply because the district court did not adopt each contention raised</w:t>
      </w:r>
      <w:r>
        <w:t>.”).</w:t>
      </w:r>
    </w:p>
  </w:footnote>
  <w:footnote w:id="67">
    <w:p w14:paraId="2680E16F" w14:textId="6231FA92" w:rsidR="00FE5ADF" w:rsidRPr="002B6B5E" w:rsidRDefault="00FE5ADF">
      <w:pPr>
        <w:pStyle w:val="FootnoteText"/>
      </w:pPr>
      <w:r>
        <w:rPr>
          <w:rStyle w:val="FootnoteReference"/>
        </w:rPr>
        <w:footnoteRef/>
      </w:r>
      <w:r w:rsidRPr="009A0CF4">
        <w:rPr>
          <w:lang w:val="pt-BR"/>
        </w:rPr>
        <w:t xml:space="preserve"> </w:t>
      </w:r>
      <w:r w:rsidR="002B6B5E" w:rsidRPr="009A0CF4">
        <w:rPr>
          <w:i/>
          <w:iCs/>
          <w:lang w:val="pt-BR"/>
        </w:rPr>
        <w:t>MPD v. PERB</w:t>
      </w:r>
      <w:r w:rsidR="002B6B5E" w:rsidRPr="009A0CF4">
        <w:rPr>
          <w:lang w:val="pt-BR"/>
        </w:rPr>
        <w:t>, No. 19-CV-1115</w:t>
      </w:r>
      <w:r w:rsidR="0027760B" w:rsidRPr="009A0CF4">
        <w:rPr>
          <w:lang w:val="pt-BR"/>
        </w:rPr>
        <w:t xml:space="preserve">, Mem. Op. </w:t>
      </w:r>
      <w:r w:rsidR="0027760B">
        <w:t xml:space="preserve">&amp; J. at 10-11 (D.C. Sept. 15, 2022). </w:t>
      </w:r>
    </w:p>
  </w:footnote>
  <w:footnote w:id="68">
    <w:p w14:paraId="6E27D51F" w14:textId="4E3BA7B1" w:rsidR="00430025" w:rsidRDefault="00430025">
      <w:pPr>
        <w:pStyle w:val="FootnoteText"/>
      </w:pPr>
      <w:r>
        <w:rPr>
          <w:rStyle w:val="FootnoteReference"/>
        </w:rPr>
        <w:footnoteRef/>
      </w:r>
      <w:r>
        <w:t xml:space="preserve"> </w:t>
      </w:r>
      <w:r w:rsidR="005E1F07">
        <w:rPr>
          <w:i/>
          <w:iCs/>
        </w:rPr>
        <w:t>MPD v. FOP/MPD Labor Comm.</w:t>
      </w:r>
      <w:r w:rsidR="005E1F07">
        <w:t xml:space="preserve">, 66 D.C. Reg. 6056, Slip Op. No. 1702 at 4, PERB Case No. 18-A-17 (2019) (citing </w:t>
      </w:r>
      <w:r w:rsidR="005E1F07">
        <w:rPr>
          <w:i/>
          <w:iCs/>
        </w:rPr>
        <w:t>Am. Postal Workers Union v. USPS</w:t>
      </w:r>
      <w:r w:rsidR="005E1F07">
        <w:t xml:space="preserve">, 789 F.2d 1, 8 (D.C. Cir. 1986), </w:t>
      </w:r>
      <w:r w:rsidR="005E1F07">
        <w:rPr>
          <w:i/>
          <w:iCs/>
        </w:rPr>
        <w:t>accord MPD v. FOP/MPD Labor Comm. ex rel. Pair</w:t>
      </w:r>
      <w:r w:rsidR="005E1F07">
        <w:t xml:space="preserve">, 61 D.C. Reg. 11609, Slip Op. No. 1487 at 8, PERB Case No. 09-A-05 (2014); </w:t>
      </w:r>
      <w:r w:rsidR="005E1F07">
        <w:rPr>
          <w:i/>
          <w:iCs/>
        </w:rPr>
        <w:t>MPD v. FOP/MPD Labor Comm. ex rel. Johnson</w:t>
      </w:r>
      <w:r w:rsidR="005E1F07">
        <w:t>, 59 D.C. Reg. 3959, Slip Op. No. 925 at 11-12, PERB Case No. 08-A-01 (2012)).</w:t>
      </w:r>
    </w:p>
  </w:footnote>
  <w:footnote w:id="69">
    <w:p w14:paraId="1CB65072" w14:textId="3E494690" w:rsidR="00BA779C" w:rsidRPr="00BA779C" w:rsidRDefault="00BA779C">
      <w:pPr>
        <w:pStyle w:val="FootnoteText"/>
      </w:pPr>
      <w:r>
        <w:rPr>
          <w:rStyle w:val="FootnoteReference"/>
        </w:rPr>
        <w:footnoteRef/>
      </w:r>
      <w:r w:rsidRPr="00DA3F38">
        <w:rPr>
          <w:lang w:val="pt-BR"/>
        </w:rPr>
        <w:t xml:space="preserve"> </w:t>
      </w:r>
      <w:r w:rsidRPr="00DA3F38">
        <w:rPr>
          <w:i/>
          <w:iCs/>
          <w:lang w:val="pt-BR"/>
        </w:rPr>
        <w:t>MPD v. PERB</w:t>
      </w:r>
      <w:r w:rsidRPr="00DA3F38">
        <w:rPr>
          <w:lang w:val="pt-BR"/>
        </w:rPr>
        <w:t xml:space="preserve">, No. 19-CV-1115, Mem. Op. </w:t>
      </w:r>
      <w:r>
        <w:t xml:space="preserve">&amp; J. at 10-11 (D.C. Sept. 15, 2022) (quoting </w:t>
      </w:r>
      <w:r>
        <w:rPr>
          <w:i/>
          <w:iCs/>
        </w:rPr>
        <w:t>MPD v. PERB</w:t>
      </w:r>
      <w:r>
        <w:t>, 901 A.2d 784, 789 (D.C. 2006)).</w:t>
      </w:r>
    </w:p>
  </w:footnote>
  <w:footnote w:id="70">
    <w:p w14:paraId="48814893" w14:textId="62DC22C3" w:rsidR="00D0224C" w:rsidRPr="00D0224C" w:rsidRDefault="00D0224C">
      <w:pPr>
        <w:pStyle w:val="FootnoteText"/>
      </w:pPr>
      <w:r>
        <w:rPr>
          <w:rStyle w:val="FootnoteReference"/>
        </w:rPr>
        <w:footnoteRef/>
      </w:r>
      <w:r>
        <w:t xml:space="preserve"> </w:t>
      </w:r>
      <w:r>
        <w:rPr>
          <w:i/>
          <w:iCs/>
        </w:rPr>
        <w:t>MPD</w:t>
      </w:r>
      <w:r>
        <w:t>, Slip Op. No. 1702 at 4.</w:t>
      </w:r>
    </w:p>
  </w:footnote>
  <w:footnote w:id="71">
    <w:p w14:paraId="07271605" w14:textId="0C872354" w:rsidR="00FD255A" w:rsidRDefault="00FD255A" w:rsidP="00AB7C3E">
      <w:pPr>
        <w:pStyle w:val="FootnoteText"/>
        <w:jc w:val="both"/>
      </w:pPr>
      <w:r>
        <w:rPr>
          <w:rStyle w:val="FootnoteReference"/>
        </w:rPr>
        <w:footnoteRef/>
      </w:r>
      <w:r>
        <w:t xml:space="preserve"> </w:t>
      </w:r>
      <w:r w:rsidR="004A172F">
        <w:rPr>
          <w:i/>
          <w:iCs/>
        </w:rPr>
        <w:t>See, generally</w:t>
      </w:r>
      <w:r w:rsidR="004A172F">
        <w:t>, Request at 4-11.</w:t>
      </w:r>
    </w:p>
  </w:footnote>
  <w:footnote w:id="72">
    <w:p w14:paraId="74A13C66" w14:textId="7318C2BC" w:rsidR="00182F28" w:rsidRPr="00182F28" w:rsidRDefault="00182F28">
      <w:pPr>
        <w:pStyle w:val="FootnoteText"/>
      </w:pPr>
      <w:r>
        <w:rPr>
          <w:rStyle w:val="FootnoteReference"/>
        </w:rPr>
        <w:footnoteRef/>
      </w:r>
      <w:r>
        <w:t xml:space="preserve"> </w:t>
      </w:r>
      <w:r>
        <w:rPr>
          <w:i/>
          <w:iCs/>
        </w:rPr>
        <w:t>See, generally</w:t>
      </w:r>
      <w:r>
        <w:t>, Request at 4-</w:t>
      </w:r>
      <w:r w:rsidR="004A172F">
        <w:t>11.</w:t>
      </w:r>
    </w:p>
  </w:footnote>
  <w:footnote w:id="73">
    <w:p w14:paraId="68D45BC0" w14:textId="77777777" w:rsidR="004C5806" w:rsidRDefault="004C5806" w:rsidP="004C5806">
      <w:pPr>
        <w:pStyle w:val="FootnoteText"/>
        <w:jc w:val="both"/>
      </w:pPr>
      <w:r>
        <w:rPr>
          <w:rStyle w:val="FootnoteReference"/>
        </w:rPr>
        <w:footnoteRef/>
      </w:r>
      <w:r>
        <w:t xml:space="preserve"> Request at 11-15.</w:t>
      </w:r>
    </w:p>
  </w:footnote>
  <w:footnote w:id="74">
    <w:p w14:paraId="35D0CE6F" w14:textId="77777777" w:rsidR="004C5806" w:rsidRDefault="004C5806" w:rsidP="004C5806">
      <w:pPr>
        <w:pStyle w:val="FootnoteText"/>
        <w:jc w:val="both"/>
      </w:pPr>
      <w:r>
        <w:rPr>
          <w:rStyle w:val="FootnoteReference"/>
        </w:rPr>
        <w:footnoteRef/>
      </w:r>
      <w:r>
        <w:t xml:space="preserve"> </w:t>
      </w:r>
      <w:r w:rsidRPr="00392629">
        <w:rPr>
          <w:bCs/>
        </w:rPr>
        <w:t xml:space="preserve">Board Rule 538.1 </w:t>
      </w:r>
      <w:r>
        <w:rPr>
          <w:bCs/>
        </w:rPr>
        <w:t xml:space="preserve">(stating that </w:t>
      </w:r>
      <w:r w:rsidRPr="00392629">
        <w:rPr>
          <w:bCs/>
        </w:rPr>
        <w:t>“[a] party to a grievance arbitration proceeding who is aggrieved by the arbitration award may file with the Board a request for review of the award no later than twenty-one (21) days after service of the award.”</w:t>
      </w:r>
      <w:r>
        <w:rPr>
          <w:bCs/>
        </w:rPr>
        <w:t xml:space="preserve">). </w:t>
      </w:r>
    </w:p>
  </w:footnote>
  <w:footnote w:id="75">
    <w:p w14:paraId="268C5191" w14:textId="77777777" w:rsidR="004C5806" w:rsidRPr="002E5C94" w:rsidRDefault="004C5806" w:rsidP="004C5806">
      <w:pPr>
        <w:pStyle w:val="FootnoteText"/>
        <w:jc w:val="both"/>
      </w:pPr>
      <w:r>
        <w:rPr>
          <w:rStyle w:val="FootnoteReference"/>
        </w:rPr>
        <w:footnoteRef/>
      </w:r>
      <w:r>
        <w:t xml:space="preserve"> </w:t>
      </w:r>
      <w:r>
        <w:rPr>
          <w:i/>
          <w:iCs/>
        </w:rPr>
        <w:t>OAG</w:t>
      </w:r>
      <w:r>
        <w:t>, Slip Op. No. 1862 at 7.</w:t>
      </w:r>
    </w:p>
  </w:footnote>
  <w:footnote w:id="76">
    <w:p w14:paraId="7021E7F6" w14:textId="77777777" w:rsidR="004C5806" w:rsidRPr="00136651" w:rsidRDefault="004C5806" w:rsidP="004C5806">
      <w:pPr>
        <w:pStyle w:val="FootnoteText"/>
        <w:jc w:val="both"/>
      </w:pPr>
      <w:r>
        <w:rPr>
          <w:rStyle w:val="FootnoteReference"/>
        </w:rPr>
        <w:footnoteRef/>
      </w:r>
      <w:r>
        <w:t xml:space="preserve"> </w:t>
      </w:r>
      <w:r>
        <w:rPr>
          <w:i/>
          <w:iCs/>
        </w:rPr>
        <w:t xml:space="preserve">Id. </w:t>
      </w:r>
      <w:r>
        <w:t>at 7-10.</w:t>
      </w:r>
    </w:p>
  </w:footnote>
  <w:footnote w:id="77">
    <w:p w14:paraId="00B6C8AA" w14:textId="6B5BC962" w:rsidR="002D00B0" w:rsidRDefault="002D00B0" w:rsidP="00AB7C3E">
      <w:pPr>
        <w:pStyle w:val="FootnoteText"/>
        <w:jc w:val="both"/>
      </w:pPr>
      <w:r>
        <w:rPr>
          <w:rStyle w:val="FootnoteReference"/>
        </w:rPr>
        <w:footnoteRef/>
      </w:r>
      <w:r>
        <w:t xml:space="preserve"> Request at 11</w:t>
      </w:r>
      <w:r w:rsidR="00993DF2">
        <w:t>-15.</w:t>
      </w:r>
    </w:p>
  </w:footnote>
  <w:footnote w:id="78">
    <w:p w14:paraId="4F70E019" w14:textId="08A340AA" w:rsidR="00D70026" w:rsidRDefault="00D70026">
      <w:pPr>
        <w:pStyle w:val="FootnoteText"/>
      </w:pPr>
      <w:r>
        <w:rPr>
          <w:rStyle w:val="FootnoteReference"/>
        </w:rPr>
        <w:footnoteRef/>
      </w:r>
      <w:r>
        <w:t xml:space="preserve"> </w:t>
      </w:r>
      <w:r w:rsidR="00A60B46">
        <w:t>Request at 7.</w:t>
      </w:r>
    </w:p>
  </w:footnote>
  <w:footnote w:id="79">
    <w:p w14:paraId="0F60F501" w14:textId="61C43B58" w:rsidR="0091736F" w:rsidRDefault="0091736F">
      <w:pPr>
        <w:pStyle w:val="FootnoteText"/>
      </w:pPr>
      <w:r>
        <w:rPr>
          <w:rStyle w:val="FootnoteReference"/>
        </w:rPr>
        <w:footnoteRef/>
      </w:r>
      <w:r>
        <w:t xml:space="preserve"> Fee Award at 10-1</w:t>
      </w:r>
      <w:r w:rsidR="00BC036B">
        <w:t>2</w:t>
      </w:r>
      <w:r>
        <w:t>.</w:t>
      </w:r>
    </w:p>
  </w:footnote>
  <w:footnote w:id="80">
    <w:p w14:paraId="72240F78" w14:textId="7A617A4E" w:rsidR="00636FDE" w:rsidRDefault="00636FDE">
      <w:pPr>
        <w:pStyle w:val="FootnoteText"/>
      </w:pPr>
      <w:r>
        <w:rPr>
          <w:rStyle w:val="FootnoteReference"/>
        </w:rPr>
        <w:footnoteRef/>
      </w:r>
      <w:r>
        <w:t xml:space="preserve"> Fee Award at 1</w:t>
      </w:r>
      <w:r w:rsidR="00BC036B">
        <w:t>1</w:t>
      </w:r>
      <w:r>
        <w:t>.</w:t>
      </w:r>
    </w:p>
  </w:footnote>
  <w:footnote w:id="81">
    <w:p w14:paraId="5AB8E8B3" w14:textId="19775BA2" w:rsidR="007930FD" w:rsidRDefault="007930FD">
      <w:pPr>
        <w:pStyle w:val="FootnoteText"/>
      </w:pPr>
      <w:r>
        <w:rPr>
          <w:rStyle w:val="FootnoteReference"/>
        </w:rPr>
        <w:footnoteRef/>
      </w:r>
      <w:r>
        <w:t xml:space="preserve"> Fee Award at 11.</w:t>
      </w:r>
    </w:p>
  </w:footnote>
  <w:footnote w:id="82">
    <w:p w14:paraId="154C0191" w14:textId="418A8B01" w:rsidR="005D0E6A" w:rsidRDefault="005D0E6A">
      <w:pPr>
        <w:pStyle w:val="FootnoteText"/>
      </w:pPr>
      <w:r>
        <w:rPr>
          <w:rStyle w:val="FootnoteReference"/>
        </w:rPr>
        <w:footnoteRef/>
      </w:r>
      <w:r>
        <w:t xml:space="preserve"> Fee Award at 11.</w:t>
      </w:r>
    </w:p>
  </w:footnote>
  <w:footnote w:id="83">
    <w:p w14:paraId="0C263B13" w14:textId="0E9891B4" w:rsidR="00267D34" w:rsidRPr="00A60071" w:rsidRDefault="00267D34">
      <w:pPr>
        <w:pStyle w:val="FootnoteText"/>
      </w:pPr>
      <w:r>
        <w:rPr>
          <w:rStyle w:val="FootnoteReference"/>
        </w:rPr>
        <w:footnoteRef/>
      </w:r>
      <w:r w:rsidRPr="00A60071">
        <w:t xml:space="preserve"> </w:t>
      </w:r>
      <w:r w:rsidR="00A60071" w:rsidRPr="00A60071">
        <w:rPr>
          <w:i/>
          <w:iCs/>
        </w:rPr>
        <w:t>AFGE, Local 2725 v. DCRA</w:t>
      </w:r>
      <w:r w:rsidR="00A60071" w:rsidRPr="00A60071">
        <w:t>, 61 D.C. Reg. 75</w:t>
      </w:r>
      <w:r w:rsidR="00A60071">
        <w:t xml:space="preserve">65, Slip Op. No. 1444 at 12 (2014). </w:t>
      </w:r>
    </w:p>
  </w:footnote>
  <w:footnote w:id="84">
    <w:p w14:paraId="31D8A132" w14:textId="61EDD13B" w:rsidR="00EF3F89" w:rsidRPr="00EF3F89" w:rsidRDefault="00EF3F89">
      <w:pPr>
        <w:pStyle w:val="FootnoteText"/>
        <w:rPr>
          <w:i/>
          <w:iCs/>
        </w:rPr>
      </w:pPr>
      <w:r>
        <w:rPr>
          <w:rStyle w:val="FootnoteReference"/>
        </w:rPr>
        <w:footnoteRef/>
      </w:r>
      <w:r>
        <w:t xml:space="preserve"> </w:t>
      </w:r>
      <w:r>
        <w:rPr>
          <w:i/>
          <w:iCs/>
        </w:rPr>
        <w:t xml:space="preserve">See </w:t>
      </w:r>
      <w:r w:rsidR="00B9424F" w:rsidRPr="000C154D">
        <w:rPr>
          <w:i/>
          <w:iCs/>
        </w:rPr>
        <w:t>Metro. Edison Co. v. N.L.R.B.</w:t>
      </w:r>
      <w:r w:rsidR="00B9424F" w:rsidRPr="000D4D40">
        <w:t>, 460 U.S. 693,</w:t>
      </w:r>
      <w:r w:rsidR="000D4D40" w:rsidRPr="000D4D40">
        <w:t xml:space="preserve"> 708</w:t>
      </w:r>
      <w:r w:rsidR="00B9424F" w:rsidRPr="000D4D40">
        <w:t xml:space="preserve"> (1983)</w:t>
      </w:r>
      <w:r w:rsidR="000D4D40">
        <w:t xml:space="preserve"> (holding that </w:t>
      </w:r>
      <w:r w:rsidR="00E56FC3">
        <w:t xml:space="preserve">a union’s silence </w:t>
      </w:r>
      <w:r w:rsidR="00751232">
        <w:t>on an issue constituted a clear, binding waiver).</w:t>
      </w:r>
      <w:r w:rsidR="00891E61">
        <w:t xml:space="preserve"> The Supreme Court </w:t>
      </w:r>
      <w:r w:rsidR="00C54314">
        <w:t xml:space="preserve">later rejected a similar argument where the </w:t>
      </w:r>
      <w:r w:rsidR="00087B71">
        <w:t xml:space="preserve">parties had not explicitly incorporated the statutory rights at issue into their CBA. </w:t>
      </w:r>
      <w:r w:rsidR="000C154D" w:rsidRPr="000C154D">
        <w:rPr>
          <w:i/>
          <w:iCs/>
        </w:rPr>
        <w:t>Wright v. Universal Mar. Serv. Corp.</w:t>
      </w:r>
      <w:r w:rsidR="000C154D" w:rsidRPr="000C154D">
        <w:t>, 525 U.S. 70</w:t>
      </w:r>
      <w:r w:rsidR="00A5237F">
        <w:t xml:space="preserve"> (1998)</w:t>
      </w:r>
      <w:r w:rsidR="005E34C5">
        <w:t>.</w:t>
      </w:r>
    </w:p>
  </w:footnote>
  <w:footnote w:id="85">
    <w:p w14:paraId="2E5E6902" w14:textId="01327716" w:rsidR="00573FA6" w:rsidRPr="00A44F5D" w:rsidRDefault="00573FA6">
      <w:pPr>
        <w:pStyle w:val="FootnoteText"/>
      </w:pPr>
      <w:r>
        <w:rPr>
          <w:rStyle w:val="FootnoteReference"/>
        </w:rPr>
        <w:footnoteRef/>
      </w:r>
      <w:r>
        <w:t xml:space="preserve"> </w:t>
      </w:r>
      <w:r w:rsidR="00A44F5D">
        <w:rPr>
          <w:i/>
          <w:iCs/>
        </w:rPr>
        <w:t>DOC v. FOP/DOC Labor Comm.</w:t>
      </w:r>
      <w:r w:rsidR="00A44F5D">
        <w:t xml:space="preserve">, 59 D.C. Reg. 12702, Slip Op. No. 1326 at 2-6, PERB Case No. 10-A-14 (2012). </w:t>
      </w:r>
    </w:p>
  </w:footnote>
  <w:footnote w:id="86">
    <w:p w14:paraId="46B9C2D3" w14:textId="6418BC24" w:rsidR="00596899" w:rsidRPr="00596899" w:rsidRDefault="00596899">
      <w:pPr>
        <w:pStyle w:val="FootnoteText"/>
      </w:pPr>
      <w:r>
        <w:rPr>
          <w:rStyle w:val="FootnoteReference"/>
        </w:rPr>
        <w:footnoteRef/>
      </w:r>
      <w:r>
        <w:t xml:space="preserve"> </w:t>
      </w:r>
      <w:r>
        <w:rPr>
          <w:i/>
          <w:iCs/>
        </w:rPr>
        <w:t>Id.</w:t>
      </w:r>
      <w:r>
        <w:t xml:space="preserve"> at 5. </w:t>
      </w:r>
    </w:p>
  </w:footnote>
  <w:footnote w:id="87">
    <w:p w14:paraId="399F5AD0" w14:textId="5802240F" w:rsidR="00BC08FF" w:rsidRPr="00BC08FF" w:rsidRDefault="00BC08FF">
      <w:pPr>
        <w:pStyle w:val="FootnoteText"/>
      </w:pPr>
      <w:r>
        <w:rPr>
          <w:rStyle w:val="FootnoteReference"/>
        </w:rPr>
        <w:footnoteRef/>
      </w:r>
      <w:r>
        <w:t xml:space="preserve"> </w:t>
      </w:r>
      <w:r>
        <w:rPr>
          <w:i/>
          <w:iCs/>
        </w:rPr>
        <w:t>Id.</w:t>
      </w:r>
      <w:r>
        <w:t xml:space="preserve"> </w:t>
      </w:r>
    </w:p>
  </w:footnote>
  <w:footnote w:id="88">
    <w:p w14:paraId="308476B6" w14:textId="608C31FD" w:rsidR="005B71E9" w:rsidRPr="005B71E9" w:rsidRDefault="005B71E9">
      <w:pPr>
        <w:pStyle w:val="FootnoteText"/>
      </w:pPr>
      <w:r>
        <w:rPr>
          <w:rStyle w:val="FootnoteReference"/>
        </w:rPr>
        <w:footnoteRef/>
      </w:r>
      <w:r>
        <w:t xml:space="preserve"> </w:t>
      </w:r>
      <w:r>
        <w:rPr>
          <w:i/>
          <w:iCs/>
        </w:rPr>
        <w:t>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611E8" w14:textId="77777777" w:rsidR="00981F6C" w:rsidRPr="006E6A0F" w:rsidRDefault="00981F6C" w:rsidP="004B4245">
    <w:pPr>
      <w:tabs>
        <w:tab w:val="center" w:pos="4680"/>
        <w:tab w:val="right" w:pos="9360"/>
      </w:tabs>
      <w:spacing w:after="0" w:line="240" w:lineRule="auto"/>
      <w:rPr>
        <w:bCs/>
        <w:sz w:val="24"/>
        <w:szCs w:val="24"/>
      </w:rPr>
    </w:pPr>
    <w:r w:rsidRPr="006E6A0F">
      <w:rPr>
        <w:bCs/>
        <w:sz w:val="24"/>
        <w:szCs w:val="24"/>
      </w:rPr>
      <w:t>Decision and Order</w:t>
    </w:r>
  </w:p>
  <w:p w14:paraId="2F79B4F1" w14:textId="0B2AE69B" w:rsidR="00981F6C" w:rsidRPr="006E6A0F" w:rsidRDefault="00981F6C" w:rsidP="004B4245">
    <w:pPr>
      <w:tabs>
        <w:tab w:val="center" w:pos="4680"/>
        <w:tab w:val="right" w:pos="9360"/>
      </w:tabs>
      <w:spacing w:after="0" w:line="240" w:lineRule="auto"/>
      <w:rPr>
        <w:bCs/>
        <w:sz w:val="24"/>
        <w:szCs w:val="24"/>
      </w:rPr>
    </w:pPr>
    <w:r w:rsidRPr="006E6A0F">
      <w:rPr>
        <w:bCs/>
        <w:sz w:val="24"/>
        <w:szCs w:val="24"/>
      </w:rPr>
      <w:t xml:space="preserve">PERB Case No. </w:t>
    </w:r>
    <w:r>
      <w:rPr>
        <w:bCs/>
        <w:sz w:val="24"/>
        <w:szCs w:val="24"/>
      </w:rPr>
      <w:t>2</w:t>
    </w:r>
    <w:r w:rsidR="000F540E">
      <w:rPr>
        <w:bCs/>
        <w:sz w:val="24"/>
        <w:szCs w:val="24"/>
      </w:rPr>
      <w:t>5-A-03</w:t>
    </w:r>
  </w:p>
  <w:p w14:paraId="6B1F5C36" w14:textId="77777777" w:rsidR="00981F6C" w:rsidRPr="006E6A0F" w:rsidRDefault="00981F6C" w:rsidP="004B4245">
    <w:pPr>
      <w:tabs>
        <w:tab w:val="center" w:pos="4680"/>
        <w:tab w:val="right" w:pos="9360"/>
      </w:tabs>
      <w:spacing w:after="0" w:line="240" w:lineRule="auto"/>
      <w:rPr>
        <w:bCs/>
        <w:noProof/>
        <w:sz w:val="24"/>
        <w:szCs w:val="24"/>
      </w:rPr>
    </w:pPr>
    <w:r w:rsidRPr="006E6A0F">
      <w:rPr>
        <w:bCs/>
        <w:sz w:val="24"/>
        <w:szCs w:val="24"/>
      </w:rPr>
      <w:t xml:space="preserve">Page </w:t>
    </w:r>
    <w:r w:rsidRPr="006E6A0F">
      <w:rPr>
        <w:bCs/>
        <w:sz w:val="24"/>
        <w:szCs w:val="24"/>
      </w:rPr>
      <w:fldChar w:fldCharType="begin"/>
    </w:r>
    <w:r w:rsidRPr="006E6A0F">
      <w:rPr>
        <w:bCs/>
        <w:sz w:val="24"/>
        <w:szCs w:val="24"/>
      </w:rPr>
      <w:instrText xml:space="preserve"> PAGE   \* MERGEFORMAT </w:instrText>
    </w:r>
    <w:r w:rsidRPr="006E6A0F">
      <w:rPr>
        <w:bCs/>
        <w:sz w:val="24"/>
        <w:szCs w:val="24"/>
      </w:rPr>
      <w:fldChar w:fldCharType="separate"/>
    </w:r>
    <w:r>
      <w:rPr>
        <w:bCs/>
        <w:noProof/>
        <w:sz w:val="24"/>
        <w:szCs w:val="24"/>
      </w:rPr>
      <w:t>9</w:t>
    </w:r>
    <w:r w:rsidRPr="006E6A0F">
      <w:rPr>
        <w:bCs/>
        <w:noProof/>
        <w:sz w:val="24"/>
        <w:szCs w:val="24"/>
      </w:rPr>
      <w:fldChar w:fldCharType="end"/>
    </w:r>
  </w:p>
  <w:p w14:paraId="2D218715" w14:textId="77777777" w:rsidR="00981F6C" w:rsidRPr="006E6A0F" w:rsidRDefault="00981F6C" w:rsidP="004B4245">
    <w:pPr>
      <w:tabs>
        <w:tab w:val="center" w:pos="4680"/>
        <w:tab w:val="right" w:pos="9360"/>
      </w:tabs>
      <w:spacing w:after="0" w:line="240" w:lineRule="auto"/>
      <w:rPr>
        <w:bCs/>
        <w:sz w:val="24"/>
        <w:szCs w:val="24"/>
      </w:rPr>
    </w:pPr>
  </w:p>
  <w:p w14:paraId="7A47EB72" w14:textId="77777777" w:rsidR="00981F6C" w:rsidRDefault="00981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E90358" w14:paraId="75BF5F31" w14:textId="77777777" w:rsidTr="00087765">
      <w:tc>
        <w:tcPr>
          <w:tcW w:w="3120" w:type="dxa"/>
        </w:tcPr>
        <w:p w14:paraId="1AC4AFFA" w14:textId="5F8EBD62" w:rsidR="52E90358" w:rsidRDefault="52E90358" w:rsidP="00087765">
          <w:pPr>
            <w:pStyle w:val="Header"/>
            <w:ind w:left="-115"/>
          </w:pPr>
        </w:p>
      </w:tc>
      <w:tc>
        <w:tcPr>
          <w:tcW w:w="3120" w:type="dxa"/>
        </w:tcPr>
        <w:p w14:paraId="0BAD287D" w14:textId="631A8605" w:rsidR="52E90358" w:rsidRDefault="52E90358" w:rsidP="00087765">
          <w:pPr>
            <w:pStyle w:val="Header"/>
            <w:jc w:val="center"/>
          </w:pPr>
        </w:p>
      </w:tc>
      <w:tc>
        <w:tcPr>
          <w:tcW w:w="3120" w:type="dxa"/>
        </w:tcPr>
        <w:p w14:paraId="0BA9BF20" w14:textId="0B8C3ACE" w:rsidR="52E90358" w:rsidRDefault="52E90358" w:rsidP="00087765">
          <w:pPr>
            <w:pStyle w:val="Header"/>
            <w:ind w:right="-115"/>
            <w:jc w:val="right"/>
          </w:pPr>
        </w:p>
      </w:tc>
    </w:tr>
  </w:tbl>
  <w:p w14:paraId="1CFAC9AB" w14:textId="6111B5FC" w:rsidR="52E90358" w:rsidRDefault="52E90358" w:rsidP="000877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A265A"/>
    <w:multiLevelType w:val="hybridMultilevel"/>
    <w:tmpl w:val="90965898"/>
    <w:lvl w:ilvl="0" w:tplc="3BAEF534">
      <w:start w:val="1"/>
      <w:numFmt w:val="upp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56E1563"/>
    <w:multiLevelType w:val="hybridMultilevel"/>
    <w:tmpl w:val="F0F47116"/>
    <w:lvl w:ilvl="0" w:tplc="4DA2C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2814D0"/>
    <w:multiLevelType w:val="hybridMultilevel"/>
    <w:tmpl w:val="FB64CD04"/>
    <w:lvl w:ilvl="0" w:tplc="32FEC0B8">
      <w:start w:val="1"/>
      <w:numFmt w:val="upperLetter"/>
      <w:lvlText w:val="%1."/>
      <w:lvlJc w:val="left"/>
      <w:pPr>
        <w:ind w:left="1440" w:firstLine="936"/>
      </w:pPr>
      <w:rPr>
        <w:rFonts w:hint="default"/>
      </w:rPr>
    </w:lvl>
    <w:lvl w:ilvl="1" w:tplc="04090019" w:tentative="1">
      <w:start w:val="1"/>
      <w:numFmt w:val="lowerLetter"/>
      <w:lvlText w:val="%2."/>
      <w:lvlJc w:val="left"/>
      <w:pPr>
        <w:ind w:left="3456" w:hanging="360"/>
      </w:pPr>
    </w:lvl>
    <w:lvl w:ilvl="2" w:tplc="0409001B" w:tentative="1">
      <w:start w:val="1"/>
      <w:numFmt w:val="lowerRoman"/>
      <w:lvlText w:val="%3."/>
      <w:lvlJc w:val="right"/>
      <w:pPr>
        <w:ind w:left="4176" w:hanging="180"/>
      </w:pPr>
    </w:lvl>
    <w:lvl w:ilvl="3" w:tplc="0409000F" w:tentative="1">
      <w:start w:val="1"/>
      <w:numFmt w:val="decimal"/>
      <w:lvlText w:val="%4."/>
      <w:lvlJc w:val="left"/>
      <w:pPr>
        <w:ind w:left="4896" w:hanging="360"/>
      </w:pPr>
    </w:lvl>
    <w:lvl w:ilvl="4" w:tplc="04090019" w:tentative="1">
      <w:start w:val="1"/>
      <w:numFmt w:val="lowerLetter"/>
      <w:lvlText w:val="%5."/>
      <w:lvlJc w:val="left"/>
      <w:pPr>
        <w:ind w:left="5616" w:hanging="360"/>
      </w:pPr>
    </w:lvl>
    <w:lvl w:ilvl="5" w:tplc="0409001B" w:tentative="1">
      <w:start w:val="1"/>
      <w:numFmt w:val="lowerRoman"/>
      <w:lvlText w:val="%6."/>
      <w:lvlJc w:val="right"/>
      <w:pPr>
        <w:ind w:left="6336" w:hanging="180"/>
      </w:pPr>
    </w:lvl>
    <w:lvl w:ilvl="6" w:tplc="0409000F" w:tentative="1">
      <w:start w:val="1"/>
      <w:numFmt w:val="decimal"/>
      <w:lvlText w:val="%7."/>
      <w:lvlJc w:val="left"/>
      <w:pPr>
        <w:ind w:left="7056" w:hanging="360"/>
      </w:pPr>
    </w:lvl>
    <w:lvl w:ilvl="7" w:tplc="04090019" w:tentative="1">
      <w:start w:val="1"/>
      <w:numFmt w:val="lowerLetter"/>
      <w:lvlText w:val="%8."/>
      <w:lvlJc w:val="left"/>
      <w:pPr>
        <w:ind w:left="7776" w:hanging="360"/>
      </w:pPr>
    </w:lvl>
    <w:lvl w:ilvl="8" w:tplc="0409001B" w:tentative="1">
      <w:start w:val="1"/>
      <w:numFmt w:val="lowerRoman"/>
      <w:lvlText w:val="%9."/>
      <w:lvlJc w:val="right"/>
      <w:pPr>
        <w:ind w:left="8496" w:hanging="180"/>
      </w:pPr>
    </w:lvl>
  </w:abstractNum>
  <w:abstractNum w:abstractNumId="3" w15:restartNumberingAfterBreak="0">
    <w:nsid w:val="26387C1A"/>
    <w:multiLevelType w:val="hybridMultilevel"/>
    <w:tmpl w:val="2E94463C"/>
    <w:lvl w:ilvl="0" w:tplc="4A90C710">
      <w:start w:val="7"/>
      <w:numFmt w:val="bullet"/>
      <w:lvlText w:val="-"/>
      <w:lvlJc w:val="left"/>
      <w:pPr>
        <w:ind w:left="720" w:hanging="360"/>
      </w:pPr>
      <w:rPr>
        <w:rFonts w:ascii="Times New Roman" w:eastAsia="Calibri" w:hAnsi="Times New Roman" w:cs="Times New Roman" w:hint="default"/>
      </w:rPr>
    </w:lvl>
    <w:lvl w:ilvl="1" w:tplc="4DA2C4DE">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2E58A0"/>
    <w:multiLevelType w:val="hybridMultilevel"/>
    <w:tmpl w:val="F9501A4E"/>
    <w:lvl w:ilvl="0" w:tplc="8FD424F8">
      <w:start w:val="1"/>
      <w:numFmt w:val="upperRoman"/>
      <w:lvlText w:val="%1."/>
      <w:lvlJc w:val="left"/>
      <w:pPr>
        <w:ind w:left="1080" w:hanging="720"/>
      </w:pPr>
      <w:rPr>
        <w:rFonts w:hint="default"/>
      </w:rPr>
    </w:lvl>
    <w:lvl w:ilvl="1" w:tplc="E064225C">
      <w:start w:val="1"/>
      <w:numFmt w:val="upperLetter"/>
      <w:lvlText w:val="%2."/>
      <w:lvlJc w:val="left"/>
      <w:pPr>
        <w:ind w:left="1440" w:hanging="360"/>
      </w:pPr>
      <w:rPr>
        <w:rFonts w:hint="default"/>
      </w:rPr>
    </w:lvl>
    <w:lvl w:ilvl="2" w:tplc="3ECA3150">
      <w:start w:val="1"/>
      <w:numFmt w:val="decimal"/>
      <w:lvlText w:val="(%3)"/>
      <w:lvlJc w:val="left"/>
      <w:pPr>
        <w:ind w:left="2340" w:hanging="360"/>
      </w:pPr>
      <w:rPr>
        <w:rFonts w:hint="default"/>
      </w:rPr>
    </w:lvl>
    <w:lvl w:ilvl="3" w:tplc="90AEF188">
      <w:start w:val="1"/>
      <w:numFmt w:val="decimal"/>
      <w:lvlText w:val="%4."/>
      <w:lvlJc w:val="left"/>
      <w:pPr>
        <w:ind w:left="207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F43F83"/>
    <w:multiLevelType w:val="hybridMultilevel"/>
    <w:tmpl w:val="D14A9868"/>
    <w:lvl w:ilvl="0" w:tplc="5E125E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E59689D"/>
    <w:multiLevelType w:val="hybridMultilevel"/>
    <w:tmpl w:val="DF0668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F84EF3"/>
    <w:multiLevelType w:val="hybridMultilevel"/>
    <w:tmpl w:val="F0046CDC"/>
    <w:lvl w:ilvl="0" w:tplc="058298A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51A44FD3"/>
    <w:multiLevelType w:val="hybridMultilevel"/>
    <w:tmpl w:val="3A2E56E0"/>
    <w:lvl w:ilvl="0" w:tplc="7504893C">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29A14DC"/>
    <w:multiLevelType w:val="hybridMultilevel"/>
    <w:tmpl w:val="8F2294A8"/>
    <w:lvl w:ilvl="0" w:tplc="A6545DC4">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71DE2734"/>
    <w:multiLevelType w:val="hybridMultilevel"/>
    <w:tmpl w:val="6EA4FB8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23157975">
    <w:abstractNumId w:val="4"/>
  </w:num>
  <w:num w:numId="2" w16cid:durableId="12026675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3187410">
    <w:abstractNumId w:val="2"/>
  </w:num>
  <w:num w:numId="4" w16cid:durableId="2002929752">
    <w:abstractNumId w:val="1"/>
  </w:num>
  <w:num w:numId="5" w16cid:durableId="2058628146">
    <w:abstractNumId w:val="3"/>
  </w:num>
  <w:num w:numId="6" w16cid:durableId="1774589497">
    <w:abstractNumId w:val="8"/>
  </w:num>
  <w:num w:numId="7" w16cid:durableId="190917622">
    <w:abstractNumId w:val="5"/>
  </w:num>
  <w:num w:numId="8" w16cid:durableId="798842161">
    <w:abstractNumId w:val="9"/>
  </w:num>
  <w:num w:numId="9" w16cid:durableId="541671366">
    <w:abstractNumId w:val="0"/>
  </w:num>
  <w:num w:numId="10" w16cid:durableId="496656085">
    <w:abstractNumId w:val="6"/>
  </w:num>
  <w:num w:numId="11" w16cid:durableId="18212685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01E"/>
    <w:rsid w:val="00000B4A"/>
    <w:rsid w:val="00000F30"/>
    <w:rsid w:val="00001213"/>
    <w:rsid w:val="00002612"/>
    <w:rsid w:val="0000281C"/>
    <w:rsid w:val="000030DD"/>
    <w:rsid w:val="000032E6"/>
    <w:rsid w:val="00004550"/>
    <w:rsid w:val="0000476F"/>
    <w:rsid w:val="00004DB0"/>
    <w:rsid w:val="00006838"/>
    <w:rsid w:val="0000798B"/>
    <w:rsid w:val="0001126A"/>
    <w:rsid w:val="00012124"/>
    <w:rsid w:val="0001327A"/>
    <w:rsid w:val="00013476"/>
    <w:rsid w:val="00013773"/>
    <w:rsid w:val="0001447B"/>
    <w:rsid w:val="0001489B"/>
    <w:rsid w:val="00014AB1"/>
    <w:rsid w:val="00014B23"/>
    <w:rsid w:val="0001575D"/>
    <w:rsid w:val="000157B4"/>
    <w:rsid w:val="0001704E"/>
    <w:rsid w:val="00017C56"/>
    <w:rsid w:val="00020102"/>
    <w:rsid w:val="0002118E"/>
    <w:rsid w:val="00021E4A"/>
    <w:rsid w:val="00024078"/>
    <w:rsid w:val="000247FD"/>
    <w:rsid w:val="00024B61"/>
    <w:rsid w:val="00025469"/>
    <w:rsid w:val="000258F6"/>
    <w:rsid w:val="00026DD7"/>
    <w:rsid w:val="000307AE"/>
    <w:rsid w:val="00030AC9"/>
    <w:rsid w:val="00030F20"/>
    <w:rsid w:val="000316C2"/>
    <w:rsid w:val="000321DC"/>
    <w:rsid w:val="000325A0"/>
    <w:rsid w:val="0003274D"/>
    <w:rsid w:val="00033C34"/>
    <w:rsid w:val="00033C80"/>
    <w:rsid w:val="0003508D"/>
    <w:rsid w:val="0003544F"/>
    <w:rsid w:val="00035872"/>
    <w:rsid w:val="00037CD6"/>
    <w:rsid w:val="00042531"/>
    <w:rsid w:val="0004338B"/>
    <w:rsid w:val="000433CF"/>
    <w:rsid w:val="00043B59"/>
    <w:rsid w:val="00043DFB"/>
    <w:rsid w:val="0004453A"/>
    <w:rsid w:val="0004586B"/>
    <w:rsid w:val="00050124"/>
    <w:rsid w:val="00050405"/>
    <w:rsid w:val="00050BEE"/>
    <w:rsid w:val="00051468"/>
    <w:rsid w:val="000514B3"/>
    <w:rsid w:val="000521B3"/>
    <w:rsid w:val="000521D6"/>
    <w:rsid w:val="00052DB7"/>
    <w:rsid w:val="00053AD3"/>
    <w:rsid w:val="00053FBB"/>
    <w:rsid w:val="0005408E"/>
    <w:rsid w:val="00055F02"/>
    <w:rsid w:val="000575EF"/>
    <w:rsid w:val="00060DEC"/>
    <w:rsid w:val="00061E44"/>
    <w:rsid w:val="00062A60"/>
    <w:rsid w:val="000639BB"/>
    <w:rsid w:val="00063B74"/>
    <w:rsid w:val="00064E53"/>
    <w:rsid w:val="00064E9C"/>
    <w:rsid w:val="0006545B"/>
    <w:rsid w:val="00065635"/>
    <w:rsid w:val="00065959"/>
    <w:rsid w:val="00065B3A"/>
    <w:rsid w:val="00065F9F"/>
    <w:rsid w:val="000679A6"/>
    <w:rsid w:val="00071546"/>
    <w:rsid w:val="00072274"/>
    <w:rsid w:val="00072613"/>
    <w:rsid w:val="00073323"/>
    <w:rsid w:val="000739AF"/>
    <w:rsid w:val="000744A7"/>
    <w:rsid w:val="00075504"/>
    <w:rsid w:val="00075F38"/>
    <w:rsid w:val="00076752"/>
    <w:rsid w:val="000769EC"/>
    <w:rsid w:val="00077C97"/>
    <w:rsid w:val="00080084"/>
    <w:rsid w:val="00080B2C"/>
    <w:rsid w:val="00081AFC"/>
    <w:rsid w:val="00082025"/>
    <w:rsid w:val="00082D16"/>
    <w:rsid w:val="0008314F"/>
    <w:rsid w:val="00085427"/>
    <w:rsid w:val="000858F6"/>
    <w:rsid w:val="00085A9E"/>
    <w:rsid w:val="00086753"/>
    <w:rsid w:val="00086EDF"/>
    <w:rsid w:val="00087765"/>
    <w:rsid w:val="00087B71"/>
    <w:rsid w:val="0009077B"/>
    <w:rsid w:val="0009145D"/>
    <w:rsid w:val="0009349A"/>
    <w:rsid w:val="00094332"/>
    <w:rsid w:val="00095EE7"/>
    <w:rsid w:val="00095F34"/>
    <w:rsid w:val="00095F6C"/>
    <w:rsid w:val="00096515"/>
    <w:rsid w:val="0009659A"/>
    <w:rsid w:val="00096E31"/>
    <w:rsid w:val="00096E98"/>
    <w:rsid w:val="00097314"/>
    <w:rsid w:val="000A0182"/>
    <w:rsid w:val="000A14B5"/>
    <w:rsid w:val="000A1DE3"/>
    <w:rsid w:val="000A27A0"/>
    <w:rsid w:val="000A3138"/>
    <w:rsid w:val="000A33FF"/>
    <w:rsid w:val="000A362C"/>
    <w:rsid w:val="000A3D80"/>
    <w:rsid w:val="000A4275"/>
    <w:rsid w:val="000A46D5"/>
    <w:rsid w:val="000A4934"/>
    <w:rsid w:val="000A4CBA"/>
    <w:rsid w:val="000A53C2"/>
    <w:rsid w:val="000A57CC"/>
    <w:rsid w:val="000A5D47"/>
    <w:rsid w:val="000A5EC4"/>
    <w:rsid w:val="000A6481"/>
    <w:rsid w:val="000A729E"/>
    <w:rsid w:val="000A764B"/>
    <w:rsid w:val="000A7829"/>
    <w:rsid w:val="000B0C1F"/>
    <w:rsid w:val="000B0E05"/>
    <w:rsid w:val="000B0E0C"/>
    <w:rsid w:val="000B107A"/>
    <w:rsid w:val="000B1201"/>
    <w:rsid w:val="000B1A12"/>
    <w:rsid w:val="000B3538"/>
    <w:rsid w:val="000B3C80"/>
    <w:rsid w:val="000B4252"/>
    <w:rsid w:val="000B5114"/>
    <w:rsid w:val="000B5E77"/>
    <w:rsid w:val="000B636C"/>
    <w:rsid w:val="000B6527"/>
    <w:rsid w:val="000B7D4F"/>
    <w:rsid w:val="000C002E"/>
    <w:rsid w:val="000C05CC"/>
    <w:rsid w:val="000C154D"/>
    <w:rsid w:val="000C204C"/>
    <w:rsid w:val="000C222F"/>
    <w:rsid w:val="000C39CF"/>
    <w:rsid w:val="000C3CB3"/>
    <w:rsid w:val="000C3E72"/>
    <w:rsid w:val="000C4B4E"/>
    <w:rsid w:val="000C4C11"/>
    <w:rsid w:val="000C5FC0"/>
    <w:rsid w:val="000C637D"/>
    <w:rsid w:val="000C7727"/>
    <w:rsid w:val="000C7A07"/>
    <w:rsid w:val="000C7F4D"/>
    <w:rsid w:val="000D02AA"/>
    <w:rsid w:val="000D0AD3"/>
    <w:rsid w:val="000D0C14"/>
    <w:rsid w:val="000D114B"/>
    <w:rsid w:val="000D1257"/>
    <w:rsid w:val="000D1B05"/>
    <w:rsid w:val="000D2267"/>
    <w:rsid w:val="000D2736"/>
    <w:rsid w:val="000D2E45"/>
    <w:rsid w:val="000D3897"/>
    <w:rsid w:val="000D4D40"/>
    <w:rsid w:val="000D5008"/>
    <w:rsid w:val="000D55EF"/>
    <w:rsid w:val="000D58ED"/>
    <w:rsid w:val="000D5AA0"/>
    <w:rsid w:val="000D7367"/>
    <w:rsid w:val="000E047D"/>
    <w:rsid w:val="000E0F26"/>
    <w:rsid w:val="000E1C3A"/>
    <w:rsid w:val="000E2028"/>
    <w:rsid w:val="000E2E16"/>
    <w:rsid w:val="000E3547"/>
    <w:rsid w:val="000E3572"/>
    <w:rsid w:val="000E47D9"/>
    <w:rsid w:val="000E4C4B"/>
    <w:rsid w:val="000E5211"/>
    <w:rsid w:val="000E67D2"/>
    <w:rsid w:val="000E6ABF"/>
    <w:rsid w:val="000E6C9A"/>
    <w:rsid w:val="000E7525"/>
    <w:rsid w:val="000E7B64"/>
    <w:rsid w:val="000F2536"/>
    <w:rsid w:val="000F37DC"/>
    <w:rsid w:val="000F3D71"/>
    <w:rsid w:val="000F3FDB"/>
    <w:rsid w:val="000F540E"/>
    <w:rsid w:val="000F574C"/>
    <w:rsid w:val="000F57B9"/>
    <w:rsid w:val="000F57EE"/>
    <w:rsid w:val="000F594D"/>
    <w:rsid w:val="000F5953"/>
    <w:rsid w:val="000F6FC3"/>
    <w:rsid w:val="000F7974"/>
    <w:rsid w:val="000F7E1A"/>
    <w:rsid w:val="00100410"/>
    <w:rsid w:val="001011F7"/>
    <w:rsid w:val="001016E8"/>
    <w:rsid w:val="00102B2A"/>
    <w:rsid w:val="0010372C"/>
    <w:rsid w:val="00103E27"/>
    <w:rsid w:val="00103ED2"/>
    <w:rsid w:val="00105E79"/>
    <w:rsid w:val="00107085"/>
    <w:rsid w:val="001071A2"/>
    <w:rsid w:val="0010758C"/>
    <w:rsid w:val="001075D3"/>
    <w:rsid w:val="00107FF9"/>
    <w:rsid w:val="001106C3"/>
    <w:rsid w:val="001110B5"/>
    <w:rsid w:val="00112152"/>
    <w:rsid w:val="00113375"/>
    <w:rsid w:val="00113653"/>
    <w:rsid w:val="00113997"/>
    <w:rsid w:val="00113FFC"/>
    <w:rsid w:val="00114168"/>
    <w:rsid w:val="00114853"/>
    <w:rsid w:val="00114D66"/>
    <w:rsid w:val="001154E1"/>
    <w:rsid w:val="00115878"/>
    <w:rsid w:val="0011624C"/>
    <w:rsid w:val="0011629A"/>
    <w:rsid w:val="0011707D"/>
    <w:rsid w:val="00117452"/>
    <w:rsid w:val="00117A63"/>
    <w:rsid w:val="00120CF7"/>
    <w:rsid w:val="001216AF"/>
    <w:rsid w:val="00121C0E"/>
    <w:rsid w:val="00121D85"/>
    <w:rsid w:val="001221E3"/>
    <w:rsid w:val="001223EB"/>
    <w:rsid w:val="00122ACF"/>
    <w:rsid w:val="00122F92"/>
    <w:rsid w:val="00124613"/>
    <w:rsid w:val="00124635"/>
    <w:rsid w:val="001255C1"/>
    <w:rsid w:val="00125A1F"/>
    <w:rsid w:val="001264AC"/>
    <w:rsid w:val="001273CD"/>
    <w:rsid w:val="001309EF"/>
    <w:rsid w:val="00130BA2"/>
    <w:rsid w:val="001319CC"/>
    <w:rsid w:val="00131AC8"/>
    <w:rsid w:val="00131EDF"/>
    <w:rsid w:val="00131EF2"/>
    <w:rsid w:val="0013291A"/>
    <w:rsid w:val="001352C0"/>
    <w:rsid w:val="00135459"/>
    <w:rsid w:val="00135710"/>
    <w:rsid w:val="00135865"/>
    <w:rsid w:val="00136651"/>
    <w:rsid w:val="001400D6"/>
    <w:rsid w:val="00141499"/>
    <w:rsid w:val="00143474"/>
    <w:rsid w:val="00143BE1"/>
    <w:rsid w:val="00143F0A"/>
    <w:rsid w:val="0014417E"/>
    <w:rsid w:val="00144A5D"/>
    <w:rsid w:val="0014550F"/>
    <w:rsid w:val="001464CE"/>
    <w:rsid w:val="0014659D"/>
    <w:rsid w:val="00146B33"/>
    <w:rsid w:val="00146FE6"/>
    <w:rsid w:val="00147A77"/>
    <w:rsid w:val="0015069E"/>
    <w:rsid w:val="00150FD3"/>
    <w:rsid w:val="00151C1B"/>
    <w:rsid w:val="00152CEA"/>
    <w:rsid w:val="00152F5C"/>
    <w:rsid w:val="00153282"/>
    <w:rsid w:val="001536E1"/>
    <w:rsid w:val="00153B44"/>
    <w:rsid w:val="00156086"/>
    <w:rsid w:val="00156609"/>
    <w:rsid w:val="0015669C"/>
    <w:rsid w:val="00156DF2"/>
    <w:rsid w:val="00157530"/>
    <w:rsid w:val="00157857"/>
    <w:rsid w:val="00161BA9"/>
    <w:rsid w:val="001625F9"/>
    <w:rsid w:val="0016378D"/>
    <w:rsid w:val="00163936"/>
    <w:rsid w:val="001642F2"/>
    <w:rsid w:val="00164792"/>
    <w:rsid w:val="00164CBA"/>
    <w:rsid w:val="001650BC"/>
    <w:rsid w:val="00167376"/>
    <w:rsid w:val="00167E45"/>
    <w:rsid w:val="00170375"/>
    <w:rsid w:val="00170912"/>
    <w:rsid w:val="001709A7"/>
    <w:rsid w:val="00170C14"/>
    <w:rsid w:val="001712C9"/>
    <w:rsid w:val="00171930"/>
    <w:rsid w:val="00171AC5"/>
    <w:rsid w:val="00172177"/>
    <w:rsid w:val="00173071"/>
    <w:rsid w:val="001730D1"/>
    <w:rsid w:val="00174494"/>
    <w:rsid w:val="0017493C"/>
    <w:rsid w:val="00174E97"/>
    <w:rsid w:val="00175258"/>
    <w:rsid w:val="00175856"/>
    <w:rsid w:val="00175E2C"/>
    <w:rsid w:val="00180475"/>
    <w:rsid w:val="00180A2E"/>
    <w:rsid w:val="00180A78"/>
    <w:rsid w:val="0018105D"/>
    <w:rsid w:val="0018110E"/>
    <w:rsid w:val="001821F2"/>
    <w:rsid w:val="00182F28"/>
    <w:rsid w:val="00184E89"/>
    <w:rsid w:val="00187AB2"/>
    <w:rsid w:val="00187F2F"/>
    <w:rsid w:val="00190045"/>
    <w:rsid w:val="001913D5"/>
    <w:rsid w:val="00192B3E"/>
    <w:rsid w:val="0019344E"/>
    <w:rsid w:val="00193685"/>
    <w:rsid w:val="001939D3"/>
    <w:rsid w:val="0019450F"/>
    <w:rsid w:val="0019476F"/>
    <w:rsid w:val="00195C25"/>
    <w:rsid w:val="00195C81"/>
    <w:rsid w:val="00196114"/>
    <w:rsid w:val="001962D3"/>
    <w:rsid w:val="001962D4"/>
    <w:rsid w:val="00196CC1"/>
    <w:rsid w:val="00197012"/>
    <w:rsid w:val="00197718"/>
    <w:rsid w:val="001A111E"/>
    <w:rsid w:val="001A1462"/>
    <w:rsid w:val="001A1C26"/>
    <w:rsid w:val="001A1F25"/>
    <w:rsid w:val="001A20B4"/>
    <w:rsid w:val="001A234F"/>
    <w:rsid w:val="001A3995"/>
    <w:rsid w:val="001A4BAD"/>
    <w:rsid w:val="001A5920"/>
    <w:rsid w:val="001A7E9D"/>
    <w:rsid w:val="001B1D96"/>
    <w:rsid w:val="001B27BD"/>
    <w:rsid w:val="001B2E41"/>
    <w:rsid w:val="001B4A79"/>
    <w:rsid w:val="001B5309"/>
    <w:rsid w:val="001B5740"/>
    <w:rsid w:val="001C05A1"/>
    <w:rsid w:val="001C0EE1"/>
    <w:rsid w:val="001C0F45"/>
    <w:rsid w:val="001C23F4"/>
    <w:rsid w:val="001C247F"/>
    <w:rsid w:val="001C28E5"/>
    <w:rsid w:val="001C328A"/>
    <w:rsid w:val="001C566A"/>
    <w:rsid w:val="001C5BB8"/>
    <w:rsid w:val="001C601F"/>
    <w:rsid w:val="001C6C0F"/>
    <w:rsid w:val="001C7398"/>
    <w:rsid w:val="001C7BEE"/>
    <w:rsid w:val="001D0938"/>
    <w:rsid w:val="001D15F4"/>
    <w:rsid w:val="001D2BEF"/>
    <w:rsid w:val="001D56C2"/>
    <w:rsid w:val="001D581A"/>
    <w:rsid w:val="001D5EDA"/>
    <w:rsid w:val="001D61BE"/>
    <w:rsid w:val="001D679E"/>
    <w:rsid w:val="001D6AC9"/>
    <w:rsid w:val="001D6C5F"/>
    <w:rsid w:val="001E01B3"/>
    <w:rsid w:val="001E04DF"/>
    <w:rsid w:val="001E08AA"/>
    <w:rsid w:val="001E1255"/>
    <w:rsid w:val="001E206E"/>
    <w:rsid w:val="001E22EE"/>
    <w:rsid w:val="001E4424"/>
    <w:rsid w:val="001E6FB3"/>
    <w:rsid w:val="001E7BF7"/>
    <w:rsid w:val="001F0053"/>
    <w:rsid w:val="001F10B1"/>
    <w:rsid w:val="001F2137"/>
    <w:rsid w:val="001F27F6"/>
    <w:rsid w:val="001F3A08"/>
    <w:rsid w:val="001F400B"/>
    <w:rsid w:val="001F4C03"/>
    <w:rsid w:val="001F5BD6"/>
    <w:rsid w:val="001F6827"/>
    <w:rsid w:val="001F76E0"/>
    <w:rsid w:val="001F7807"/>
    <w:rsid w:val="001F7B6C"/>
    <w:rsid w:val="002000C4"/>
    <w:rsid w:val="00200137"/>
    <w:rsid w:val="00200542"/>
    <w:rsid w:val="00202173"/>
    <w:rsid w:val="0020261E"/>
    <w:rsid w:val="00202FD8"/>
    <w:rsid w:val="0020362F"/>
    <w:rsid w:val="002039D7"/>
    <w:rsid w:val="00203A14"/>
    <w:rsid w:val="00203A40"/>
    <w:rsid w:val="00203B86"/>
    <w:rsid w:val="00203DD3"/>
    <w:rsid w:val="00204815"/>
    <w:rsid w:val="00205715"/>
    <w:rsid w:val="002062B9"/>
    <w:rsid w:val="00206349"/>
    <w:rsid w:val="00206681"/>
    <w:rsid w:val="0021095D"/>
    <w:rsid w:val="0021125D"/>
    <w:rsid w:val="0021125E"/>
    <w:rsid w:val="00212099"/>
    <w:rsid w:val="00212ABC"/>
    <w:rsid w:val="00214214"/>
    <w:rsid w:val="00214580"/>
    <w:rsid w:val="00214A11"/>
    <w:rsid w:val="00214ECE"/>
    <w:rsid w:val="00215923"/>
    <w:rsid w:val="00216637"/>
    <w:rsid w:val="00216D90"/>
    <w:rsid w:val="00217B57"/>
    <w:rsid w:val="00220CBE"/>
    <w:rsid w:val="00222516"/>
    <w:rsid w:val="00222785"/>
    <w:rsid w:val="00222826"/>
    <w:rsid w:val="00223106"/>
    <w:rsid w:val="00223780"/>
    <w:rsid w:val="00224155"/>
    <w:rsid w:val="002245CB"/>
    <w:rsid w:val="0022563C"/>
    <w:rsid w:val="00225AA5"/>
    <w:rsid w:val="00225B31"/>
    <w:rsid w:val="002272A9"/>
    <w:rsid w:val="00227A11"/>
    <w:rsid w:val="0023025E"/>
    <w:rsid w:val="00230C4E"/>
    <w:rsid w:val="00230F4A"/>
    <w:rsid w:val="002317DA"/>
    <w:rsid w:val="00233019"/>
    <w:rsid w:val="0023342C"/>
    <w:rsid w:val="00233A45"/>
    <w:rsid w:val="002353B7"/>
    <w:rsid w:val="002357DC"/>
    <w:rsid w:val="00235807"/>
    <w:rsid w:val="002358D8"/>
    <w:rsid w:val="00235B8F"/>
    <w:rsid w:val="00236610"/>
    <w:rsid w:val="00236E2E"/>
    <w:rsid w:val="0023752B"/>
    <w:rsid w:val="002375DE"/>
    <w:rsid w:val="0023772B"/>
    <w:rsid w:val="002377A9"/>
    <w:rsid w:val="00237E27"/>
    <w:rsid w:val="002410F4"/>
    <w:rsid w:val="0024216A"/>
    <w:rsid w:val="00244330"/>
    <w:rsid w:val="002443C0"/>
    <w:rsid w:val="00244E1C"/>
    <w:rsid w:val="00245862"/>
    <w:rsid w:val="00247F2D"/>
    <w:rsid w:val="00247FF5"/>
    <w:rsid w:val="00251320"/>
    <w:rsid w:val="00252A9F"/>
    <w:rsid w:val="00253393"/>
    <w:rsid w:val="00253BA6"/>
    <w:rsid w:val="00254B9C"/>
    <w:rsid w:val="0025535E"/>
    <w:rsid w:val="0025642C"/>
    <w:rsid w:val="00257316"/>
    <w:rsid w:val="00257D3E"/>
    <w:rsid w:val="0026088D"/>
    <w:rsid w:val="00260FE3"/>
    <w:rsid w:val="00261BE9"/>
    <w:rsid w:val="00261F8F"/>
    <w:rsid w:val="00263066"/>
    <w:rsid w:val="002635A5"/>
    <w:rsid w:val="00263856"/>
    <w:rsid w:val="002643EE"/>
    <w:rsid w:val="002658E3"/>
    <w:rsid w:val="00265FD1"/>
    <w:rsid w:val="00266CBF"/>
    <w:rsid w:val="00267831"/>
    <w:rsid w:val="00267D34"/>
    <w:rsid w:val="00270694"/>
    <w:rsid w:val="0027100F"/>
    <w:rsid w:val="00271223"/>
    <w:rsid w:val="002719B9"/>
    <w:rsid w:val="0027403F"/>
    <w:rsid w:val="00275878"/>
    <w:rsid w:val="00275AE7"/>
    <w:rsid w:val="00276123"/>
    <w:rsid w:val="00276390"/>
    <w:rsid w:val="00276608"/>
    <w:rsid w:val="0027760B"/>
    <w:rsid w:val="00277B20"/>
    <w:rsid w:val="002800B3"/>
    <w:rsid w:val="00282297"/>
    <w:rsid w:val="00282864"/>
    <w:rsid w:val="00286240"/>
    <w:rsid w:val="00286268"/>
    <w:rsid w:val="002877D0"/>
    <w:rsid w:val="00287B2F"/>
    <w:rsid w:val="00290394"/>
    <w:rsid w:val="00290876"/>
    <w:rsid w:val="002909F3"/>
    <w:rsid w:val="00290DFB"/>
    <w:rsid w:val="002911DA"/>
    <w:rsid w:val="00292AD9"/>
    <w:rsid w:val="00292DBA"/>
    <w:rsid w:val="002936B6"/>
    <w:rsid w:val="00293BD4"/>
    <w:rsid w:val="00293F68"/>
    <w:rsid w:val="00294C9B"/>
    <w:rsid w:val="00294FB3"/>
    <w:rsid w:val="002955F6"/>
    <w:rsid w:val="00295ACE"/>
    <w:rsid w:val="00295AEC"/>
    <w:rsid w:val="00295B9A"/>
    <w:rsid w:val="00295E12"/>
    <w:rsid w:val="00295EBD"/>
    <w:rsid w:val="002962AE"/>
    <w:rsid w:val="00296D80"/>
    <w:rsid w:val="00296DF7"/>
    <w:rsid w:val="0029707A"/>
    <w:rsid w:val="0029727D"/>
    <w:rsid w:val="00297F18"/>
    <w:rsid w:val="002A0AD9"/>
    <w:rsid w:val="002A1962"/>
    <w:rsid w:val="002A2017"/>
    <w:rsid w:val="002A2DF5"/>
    <w:rsid w:val="002A2E66"/>
    <w:rsid w:val="002A3792"/>
    <w:rsid w:val="002A3CF8"/>
    <w:rsid w:val="002A580B"/>
    <w:rsid w:val="002A5A71"/>
    <w:rsid w:val="002A6064"/>
    <w:rsid w:val="002A611E"/>
    <w:rsid w:val="002A7461"/>
    <w:rsid w:val="002A7D42"/>
    <w:rsid w:val="002B0389"/>
    <w:rsid w:val="002B0E72"/>
    <w:rsid w:val="002B1A81"/>
    <w:rsid w:val="002B240B"/>
    <w:rsid w:val="002B2F25"/>
    <w:rsid w:val="002B3AAF"/>
    <w:rsid w:val="002B42F3"/>
    <w:rsid w:val="002B4C37"/>
    <w:rsid w:val="002B5CD8"/>
    <w:rsid w:val="002B6150"/>
    <w:rsid w:val="002B66ED"/>
    <w:rsid w:val="002B6B5E"/>
    <w:rsid w:val="002B6C8D"/>
    <w:rsid w:val="002B75EB"/>
    <w:rsid w:val="002B775F"/>
    <w:rsid w:val="002C05FD"/>
    <w:rsid w:val="002C0D10"/>
    <w:rsid w:val="002C1982"/>
    <w:rsid w:val="002C1AEC"/>
    <w:rsid w:val="002C1BF0"/>
    <w:rsid w:val="002C3A77"/>
    <w:rsid w:val="002C3E47"/>
    <w:rsid w:val="002C4061"/>
    <w:rsid w:val="002C4F63"/>
    <w:rsid w:val="002C60EB"/>
    <w:rsid w:val="002C622C"/>
    <w:rsid w:val="002C631D"/>
    <w:rsid w:val="002C648D"/>
    <w:rsid w:val="002C76F5"/>
    <w:rsid w:val="002D00B0"/>
    <w:rsid w:val="002D00D5"/>
    <w:rsid w:val="002D0CAD"/>
    <w:rsid w:val="002D15AA"/>
    <w:rsid w:val="002D2F30"/>
    <w:rsid w:val="002D3107"/>
    <w:rsid w:val="002D41BA"/>
    <w:rsid w:val="002D4446"/>
    <w:rsid w:val="002D4837"/>
    <w:rsid w:val="002D4E52"/>
    <w:rsid w:val="002D5626"/>
    <w:rsid w:val="002D70E5"/>
    <w:rsid w:val="002D79FB"/>
    <w:rsid w:val="002E18A9"/>
    <w:rsid w:val="002E1947"/>
    <w:rsid w:val="002E2ECF"/>
    <w:rsid w:val="002E2FC5"/>
    <w:rsid w:val="002E4066"/>
    <w:rsid w:val="002E5C94"/>
    <w:rsid w:val="002E61A2"/>
    <w:rsid w:val="002E65DB"/>
    <w:rsid w:val="002E66F9"/>
    <w:rsid w:val="002E70AE"/>
    <w:rsid w:val="002E795D"/>
    <w:rsid w:val="002E7CD2"/>
    <w:rsid w:val="002E7FAE"/>
    <w:rsid w:val="002F085B"/>
    <w:rsid w:val="002F1807"/>
    <w:rsid w:val="002F254C"/>
    <w:rsid w:val="002F260A"/>
    <w:rsid w:val="002F2CE8"/>
    <w:rsid w:val="002F2FD8"/>
    <w:rsid w:val="002F356C"/>
    <w:rsid w:val="002F37A1"/>
    <w:rsid w:val="002F3BE5"/>
    <w:rsid w:val="002F4AB6"/>
    <w:rsid w:val="002F4F6C"/>
    <w:rsid w:val="002F5436"/>
    <w:rsid w:val="002F61A5"/>
    <w:rsid w:val="002F721F"/>
    <w:rsid w:val="002F7D49"/>
    <w:rsid w:val="002F7E25"/>
    <w:rsid w:val="003006AA"/>
    <w:rsid w:val="00300714"/>
    <w:rsid w:val="00303BC5"/>
    <w:rsid w:val="00303C89"/>
    <w:rsid w:val="003045FE"/>
    <w:rsid w:val="00304977"/>
    <w:rsid w:val="003064A2"/>
    <w:rsid w:val="00306AB2"/>
    <w:rsid w:val="00306CF2"/>
    <w:rsid w:val="003078A5"/>
    <w:rsid w:val="003078CD"/>
    <w:rsid w:val="003103A6"/>
    <w:rsid w:val="00310AE9"/>
    <w:rsid w:val="00310BBB"/>
    <w:rsid w:val="00312E38"/>
    <w:rsid w:val="00312E86"/>
    <w:rsid w:val="00312F22"/>
    <w:rsid w:val="003148F7"/>
    <w:rsid w:val="0031555F"/>
    <w:rsid w:val="00315FDD"/>
    <w:rsid w:val="00316412"/>
    <w:rsid w:val="00317A3B"/>
    <w:rsid w:val="00317E08"/>
    <w:rsid w:val="00320261"/>
    <w:rsid w:val="003209AA"/>
    <w:rsid w:val="00320E13"/>
    <w:rsid w:val="003235E7"/>
    <w:rsid w:val="003238DF"/>
    <w:rsid w:val="00323F1B"/>
    <w:rsid w:val="003243A5"/>
    <w:rsid w:val="003252AF"/>
    <w:rsid w:val="00325F75"/>
    <w:rsid w:val="00326AB6"/>
    <w:rsid w:val="00326EBE"/>
    <w:rsid w:val="00326EF4"/>
    <w:rsid w:val="00326FB8"/>
    <w:rsid w:val="00326FDC"/>
    <w:rsid w:val="003271ED"/>
    <w:rsid w:val="00332142"/>
    <w:rsid w:val="00332649"/>
    <w:rsid w:val="00334435"/>
    <w:rsid w:val="00334736"/>
    <w:rsid w:val="00334817"/>
    <w:rsid w:val="00334A50"/>
    <w:rsid w:val="00334FF3"/>
    <w:rsid w:val="00335A34"/>
    <w:rsid w:val="00335B08"/>
    <w:rsid w:val="00336981"/>
    <w:rsid w:val="00341032"/>
    <w:rsid w:val="00341D26"/>
    <w:rsid w:val="003426E0"/>
    <w:rsid w:val="00343185"/>
    <w:rsid w:val="00343A94"/>
    <w:rsid w:val="00344F94"/>
    <w:rsid w:val="00345169"/>
    <w:rsid w:val="003452DA"/>
    <w:rsid w:val="003461BD"/>
    <w:rsid w:val="00346A7B"/>
    <w:rsid w:val="00346B7C"/>
    <w:rsid w:val="0034790E"/>
    <w:rsid w:val="003518FC"/>
    <w:rsid w:val="00355122"/>
    <w:rsid w:val="003565DF"/>
    <w:rsid w:val="00357576"/>
    <w:rsid w:val="00360247"/>
    <w:rsid w:val="003604B3"/>
    <w:rsid w:val="003612E8"/>
    <w:rsid w:val="00361F40"/>
    <w:rsid w:val="00363FBA"/>
    <w:rsid w:val="00364716"/>
    <w:rsid w:val="00365B9B"/>
    <w:rsid w:val="00367FA9"/>
    <w:rsid w:val="00370D0A"/>
    <w:rsid w:val="003717B9"/>
    <w:rsid w:val="003717DB"/>
    <w:rsid w:val="00371E16"/>
    <w:rsid w:val="00372BCB"/>
    <w:rsid w:val="0037391E"/>
    <w:rsid w:val="00373C03"/>
    <w:rsid w:val="0037407D"/>
    <w:rsid w:val="003742CB"/>
    <w:rsid w:val="0037481B"/>
    <w:rsid w:val="003748F0"/>
    <w:rsid w:val="00374F20"/>
    <w:rsid w:val="003754E5"/>
    <w:rsid w:val="00375542"/>
    <w:rsid w:val="003757D3"/>
    <w:rsid w:val="00375CC2"/>
    <w:rsid w:val="00376674"/>
    <w:rsid w:val="0037688F"/>
    <w:rsid w:val="00376EA2"/>
    <w:rsid w:val="00377D0B"/>
    <w:rsid w:val="00380869"/>
    <w:rsid w:val="00380A90"/>
    <w:rsid w:val="00380AAF"/>
    <w:rsid w:val="00380CD3"/>
    <w:rsid w:val="00381177"/>
    <w:rsid w:val="003812DD"/>
    <w:rsid w:val="00381FA2"/>
    <w:rsid w:val="00383805"/>
    <w:rsid w:val="00383C7C"/>
    <w:rsid w:val="003843CB"/>
    <w:rsid w:val="00385B15"/>
    <w:rsid w:val="0038714E"/>
    <w:rsid w:val="0038730D"/>
    <w:rsid w:val="003876CB"/>
    <w:rsid w:val="00387AC1"/>
    <w:rsid w:val="00387F3C"/>
    <w:rsid w:val="00390522"/>
    <w:rsid w:val="003907D1"/>
    <w:rsid w:val="00391226"/>
    <w:rsid w:val="00392629"/>
    <w:rsid w:val="00393031"/>
    <w:rsid w:val="003932A2"/>
    <w:rsid w:val="0039413F"/>
    <w:rsid w:val="00395F87"/>
    <w:rsid w:val="00396FCB"/>
    <w:rsid w:val="00397A2E"/>
    <w:rsid w:val="003A01E7"/>
    <w:rsid w:val="003A076F"/>
    <w:rsid w:val="003A1E69"/>
    <w:rsid w:val="003A2B1A"/>
    <w:rsid w:val="003A40AA"/>
    <w:rsid w:val="003A4882"/>
    <w:rsid w:val="003A56C7"/>
    <w:rsid w:val="003A69CA"/>
    <w:rsid w:val="003A69FB"/>
    <w:rsid w:val="003A6AAB"/>
    <w:rsid w:val="003A6F6A"/>
    <w:rsid w:val="003A7178"/>
    <w:rsid w:val="003A76A8"/>
    <w:rsid w:val="003A7823"/>
    <w:rsid w:val="003A7BE8"/>
    <w:rsid w:val="003B01DC"/>
    <w:rsid w:val="003B0AB2"/>
    <w:rsid w:val="003B15A5"/>
    <w:rsid w:val="003B1B6D"/>
    <w:rsid w:val="003B1EF2"/>
    <w:rsid w:val="003B2490"/>
    <w:rsid w:val="003B30EC"/>
    <w:rsid w:val="003B322E"/>
    <w:rsid w:val="003B3E97"/>
    <w:rsid w:val="003B40F7"/>
    <w:rsid w:val="003B4219"/>
    <w:rsid w:val="003B4A9C"/>
    <w:rsid w:val="003B4DD0"/>
    <w:rsid w:val="003B5363"/>
    <w:rsid w:val="003B5A8A"/>
    <w:rsid w:val="003B5F2A"/>
    <w:rsid w:val="003B7A24"/>
    <w:rsid w:val="003B7BC8"/>
    <w:rsid w:val="003C077F"/>
    <w:rsid w:val="003C2B48"/>
    <w:rsid w:val="003C30B0"/>
    <w:rsid w:val="003C490E"/>
    <w:rsid w:val="003C4D03"/>
    <w:rsid w:val="003C50E8"/>
    <w:rsid w:val="003C5C03"/>
    <w:rsid w:val="003C5F7D"/>
    <w:rsid w:val="003C6190"/>
    <w:rsid w:val="003C6307"/>
    <w:rsid w:val="003C6773"/>
    <w:rsid w:val="003C7212"/>
    <w:rsid w:val="003C7AA2"/>
    <w:rsid w:val="003C7C66"/>
    <w:rsid w:val="003D0BCF"/>
    <w:rsid w:val="003D15B7"/>
    <w:rsid w:val="003D1B3A"/>
    <w:rsid w:val="003D27D1"/>
    <w:rsid w:val="003D2963"/>
    <w:rsid w:val="003D2B55"/>
    <w:rsid w:val="003D2BA5"/>
    <w:rsid w:val="003D3A32"/>
    <w:rsid w:val="003D3BBE"/>
    <w:rsid w:val="003D426B"/>
    <w:rsid w:val="003D4CEA"/>
    <w:rsid w:val="003D4E63"/>
    <w:rsid w:val="003D56FB"/>
    <w:rsid w:val="003D5748"/>
    <w:rsid w:val="003D5752"/>
    <w:rsid w:val="003D5CA7"/>
    <w:rsid w:val="003D6456"/>
    <w:rsid w:val="003D649F"/>
    <w:rsid w:val="003D675E"/>
    <w:rsid w:val="003D70C9"/>
    <w:rsid w:val="003D772A"/>
    <w:rsid w:val="003E1615"/>
    <w:rsid w:val="003E2C21"/>
    <w:rsid w:val="003E3577"/>
    <w:rsid w:val="003E3710"/>
    <w:rsid w:val="003E4D67"/>
    <w:rsid w:val="003E6F46"/>
    <w:rsid w:val="003E775E"/>
    <w:rsid w:val="003E77CF"/>
    <w:rsid w:val="003E7E9C"/>
    <w:rsid w:val="003F0061"/>
    <w:rsid w:val="003F1DC5"/>
    <w:rsid w:val="003F5D80"/>
    <w:rsid w:val="003F5F8C"/>
    <w:rsid w:val="003F6B53"/>
    <w:rsid w:val="003F6F57"/>
    <w:rsid w:val="003F78C5"/>
    <w:rsid w:val="004001B0"/>
    <w:rsid w:val="00400510"/>
    <w:rsid w:val="00400FEC"/>
    <w:rsid w:val="00401275"/>
    <w:rsid w:val="004013C3"/>
    <w:rsid w:val="00402269"/>
    <w:rsid w:val="004022F3"/>
    <w:rsid w:val="00402EE0"/>
    <w:rsid w:val="0040406D"/>
    <w:rsid w:val="00404600"/>
    <w:rsid w:val="004047AB"/>
    <w:rsid w:val="00407437"/>
    <w:rsid w:val="0040753D"/>
    <w:rsid w:val="004078A1"/>
    <w:rsid w:val="00407DD3"/>
    <w:rsid w:val="004103B3"/>
    <w:rsid w:val="004107DD"/>
    <w:rsid w:val="0041098B"/>
    <w:rsid w:val="00410C28"/>
    <w:rsid w:val="00412332"/>
    <w:rsid w:val="004126B0"/>
    <w:rsid w:val="00412F73"/>
    <w:rsid w:val="00413839"/>
    <w:rsid w:val="00414046"/>
    <w:rsid w:val="0041540E"/>
    <w:rsid w:val="0041600E"/>
    <w:rsid w:val="004160B2"/>
    <w:rsid w:val="004165A2"/>
    <w:rsid w:val="00416BA3"/>
    <w:rsid w:val="00417629"/>
    <w:rsid w:val="00420410"/>
    <w:rsid w:val="0042095E"/>
    <w:rsid w:val="00420F4A"/>
    <w:rsid w:val="004215E9"/>
    <w:rsid w:val="00422BE4"/>
    <w:rsid w:val="00422CC1"/>
    <w:rsid w:val="00423A1E"/>
    <w:rsid w:val="00423B5A"/>
    <w:rsid w:val="00424ACB"/>
    <w:rsid w:val="00424BEA"/>
    <w:rsid w:val="004268B1"/>
    <w:rsid w:val="00427F7A"/>
    <w:rsid w:val="00430025"/>
    <w:rsid w:val="004311A7"/>
    <w:rsid w:val="00432986"/>
    <w:rsid w:val="00433400"/>
    <w:rsid w:val="004344C5"/>
    <w:rsid w:val="00434B44"/>
    <w:rsid w:val="00436404"/>
    <w:rsid w:val="00436E4F"/>
    <w:rsid w:val="0043726D"/>
    <w:rsid w:val="00440406"/>
    <w:rsid w:val="004404AE"/>
    <w:rsid w:val="00440B67"/>
    <w:rsid w:val="00440EFA"/>
    <w:rsid w:val="004418BB"/>
    <w:rsid w:val="004438F1"/>
    <w:rsid w:val="0044444A"/>
    <w:rsid w:val="00444513"/>
    <w:rsid w:val="0044480C"/>
    <w:rsid w:val="004462C6"/>
    <w:rsid w:val="0044650A"/>
    <w:rsid w:val="004467E8"/>
    <w:rsid w:val="00447B10"/>
    <w:rsid w:val="00447DEC"/>
    <w:rsid w:val="00450722"/>
    <w:rsid w:val="004507CE"/>
    <w:rsid w:val="00450CF6"/>
    <w:rsid w:val="00451681"/>
    <w:rsid w:val="00451E00"/>
    <w:rsid w:val="0045200C"/>
    <w:rsid w:val="004520D5"/>
    <w:rsid w:val="00452ECB"/>
    <w:rsid w:val="00452EFE"/>
    <w:rsid w:val="0045346A"/>
    <w:rsid w:val="004535C2"/>
    <w:rsid w:val="00453F33"/>
    <w:rsid w:val="0045473B"/>
    <w:rsid w:val="00454BAD"/>
    <w:rsid w:val="0045580A"/>
    <w:rsid w:val="00456421"/>
    <w:rsid w:val="00456716"/>
    <w:rsid w:val="00456F43"/>
    <w:rsid w:val="00456F73"/>
    <w:rsid w:val="00460EE4"/>
    <w:rsid w:val="00461283"/>
    <w:rsid w:val="004612FD"/>
    <w:rsid w:val="004622BB"/>
    <w:rsid w:val="004633BB"/>
    <w:rsid w:val="00463F3D"/>
    <w:rsid w:val="0046460A"/>
    <w:rsid w:val="004647BD"/>
    <w:rsid w:val="00464B22"/>
    <w:rsid w:val="004651CB"/>
    <w:rsid w:val="004654E3"/>
    <w:rsid w:val="0046740A"/>
    <w:rsid w:val="00467A57"/>
    <w:rsid w:val="00470FEC"/>
    <w:rsid w:val="00473B8C"/>
    <w:rsid w:val="00474387"/>
    <w:rsid w:val="00474E79"/>
    <w:rsid w:val="004755E3"/>
    <w:rsid w:val="00480948"/>
    <w:rsid w:val="00480A0D"/>
    <w:rsid w:val="004811D3"/>
    <w:rsid w:val="004819EF"/>
    <w:rsid w:val="0048296A"/>
    <w:rsid w:val="004834E8"/>
    <w:rsid w:val="0048477C"/>
    <w:rsid w:val="0048478A"/>
    <w:rsid w:val="00484875"/>
    <w:rsid w:val="00484BEC"/>
    <w:rsid w:val="00484DB4"/>
    <w:rsid w:val="00484DE0"/>
    <w:rsid w:val="00485268"/>
    <w:rsid w:val="00485B08"/>
    <w:rsid w:val="00486D35"/>
    <w:rsid w:val="00490FD2"/>
    <w:rsid w:val="0049219E"/>
    <w:rsid w:val="00493345"/>
    <w:rsid w:val="00493361"/>
    <w:rsid w:val="00494224"/>
    <w:rsid w:val="0049490E"/>
    <w:rsid w:val="00496113"/>
    <w:rsid w:val="00496420"/>
    <w:rsid w:val="00496877"/>
    <w:rsid w:val="00496A4E"/>
    <w:rsid w:val="004970B6"/>
    <w:rsid w:val="00497440"/>
    <w:rsid w:val="00497EE9"/>
    <w:rsid w:val="004A172F"/>
    <w:rsid w:val="004A1F28"/>
    <w:rsid w:val="004A2174"/>
    <w:rsid w:val="004A26BF"/>
    <w:rsid w:val="004A2BDE"/>
    <w:rsid w:val="004A46ED"/>
    <w:rsid w:val="004A4D13"/>
    <w:rsid w:val="004A5B97"/>
    <w:rsid w:val="004A5CA0"/>
    <w:rsid w:val="004A622F"/>
    <w:rsid w:val="004A6AC7"/>
    <w:rsid w:val="004B0F32"/>
    <w:rsid w:val="004B1546"/>
    <w:rsid w:val="004B1B5D"/>
    <w:rsid w:val="004B1D63"/>
    <w:rsid w:val="004B2A7F"/>
    <w:rsid w:val="004B38DB"/>
    <w:rsid w:val="004B3FE0"/>
    <w:rsid w:val="004B4245"/>
    <w:rsid w:val="004B6594"/>
    <w:rsid w:val="004B6910"/>
    <w:rsid w:val="004B744F"/>
    <w:rsid w:val="004B7569"/>
    <w:rsid w:val="004B765A"/>
    <w:rsid w:val="004B7AC6"/>
    <w:rsid w:val="004C05BA"/>
    <w:rsid w:val="004C2911"/>
    <w:rsid w:val="004C380C"/>
    <w:rsid w:val="004C3B69"/>
    <w:rsid w:val="004C47F6"/>
    <w:rsid w:val="004C52FB"/>
    <w:rsid w:val="004C5561"/>
    <w:rsid w:val="004C5806"/>
    <w:rsid w:val="004C5F3D"/>
    <w:rsid w:val="004C69EF"/>
    <w:rsid w:val="004C716D"/>
    <w:rsid w:val="004C76E7"/>
    <w:rsid w:val="004D05B5"/>
    <w:rsid w:val="004D1DDC"/>
    <w:rsid w:val="004D2074"/>
    <w:rsid w:val="004D27CB"/>
    <w:rsid w:val="004D31DD"/>
    <w:rsid w:val="004D37E0"/>
    <w:rsid w:val="004D3991"/>
    <w:rsid w:val="004D4192"/>
    <w:rsid w:val="004D5566"/>
    <w:rsid w:val="004D5EA6"/>
    <w:rsid w:val="004D69CB"/>
    <w:rsid w:val="004D7DE0"/>
    <w:rsid w:val="004E01FF"/>
    <w:rsid w:val="004E032E"/>
    <w:rsid w:val="004E1806"/>
    <w:rsid w:val="004E1834"/>
    <w:rsid w:val="004E1FC8"/>
    <w:rsid w:val="004E3BE8"/>
    <w:rsid w:val="004E3DEF"/>
    <w:rsid w:val="004E4733"/>
    <w:rsid w:val="004E4911"/>
    <w:rsid w:val="004E611F"/>
    <w:rsid w:val="004E687B"/>
    <w:rsid w:val="004E7979"/>
    <w:rsid w:val="004F148F"/>
    <w:rsid w:val="004F365E"/>
    <w:rsid w:val="004F3A84"/>
    <w:rsid w:val="004F41CE"/>
    <w:rsid w:val="004F480E"/>
    <w:rsid w:val="004F502D"/>
    <w:rsid w:val="004F5BAA"/>
    <w:rsid w:val="004F5E7A"/>
    <w:rsid w:val="004F622C"/>
    <w:rsid w:val="004F699E"/>
    <w:rsid w:val="004F6FBB"/>
    <w:rsid w:val="004F7B48"/>
    <w:rsid w:val="004F7C6F"/>
    <w:rsid w:val="005015E4"/>
    <w:rsid w:val="00501F55"/>
    <w:rsid w:val="00502776"/>
    <w:rsid w:val="005028D7"/>
    <w:rsid w:val="00502DBF"/>
    <w:rsid w:val="005039E9"/>
    <w:rsid w:val="00503F69"/>
    <w:rsid w:val="00505CF6"/>
    <w:rsid w:val="005065B2"/>
    <w:rsid w:val="00506978"/>
    <w:rsid w:val="005072D5"/>
    <w:rsid w:val="0050781A"/>
    <w:rsid w:val="00510A81"/>
    <w:rsid w:val="005113B0"/>
    <w:rsid w:val="00511B89"/>
    <w:rsid w:val="00511D01"/>
    <w:rsid w:val="00511F30"/>
    <w:rsid w:val="005129D5"/>
    <w:rsid w:val="00512AB3"/>
    <w:rsid w:val="00512E01"/>
    <w:rsid w:val="00512F0B"/>
    <w:rsid w:val="00513BF2"/>
    <w:rsid w:val="00513F2F"/>
    <w:rsid w:val="005146E5"/>
    <w:rsid w:val="00514FCF"/>
    <w:rsid w:val="00520298"/>
    <w:rsid w:val="00520B75"/>
    <w:rsid w:val="00522605"/>
    <w:rsid w:val="00522F1E"/>
    <w:rsid w:val="005238CA"/>
    <w:rsid w:val="00524255"/>
    <w:rsid w:val="005254BE"/>
    <w:rsid w:val="00525F4A"/>
    <w:rsid w:val="00525FD9"/>
    <w:rsid w:val="00526AAE"/>
    <w:rsid w:val="005277CB"/>
    <w:rsid w:val="00531423"/>
    <w:rsid w:val="00532445"/>
    <w:rsid w:val="00534B74"/>
    <w:rsid w:val="00534BEF"/>
    <w:rsid w:val="005353F1"/>
    <w:rsid w:val="005358F4"/>
    <w:rsid w:val="00535911"/>
    <w:rsid w:val="00535C7F"/>
    <w:rsid w:val="00536144"/>
    <w:rsid w:val="00540876"/>
    <w:rsid w:val="00541118"/>
    <w:rsid w:val="00541207"/>
    <w:rsid w:val="00542227"/>
    <w:rsid w:val="00542A0E"/>
    <w:rsid w:val="00542BCA"/>
    <w:rsid w:val="005430D7"/>
    <w:rsid w:val="00543DE1"/>
    <w:rsid w:val="0054512D"/>
    <w:rsid w:val="00545AE2"/>
    <w:rsid w:val="005475D3"/>
    <w:rsid w:val="00550D55"/>
    <w:rsid w:val="00552F2B"/>
    <w:rsid w:val="005532CE"/>
    <w:rsid w:val="005534DD"/>
    <w:rsid w:val="00553664"/>
    <w:rsid w:val="005546C6"/>
    <w:rsid w:val="00555B37"/>
    <w:rsid w:val="00556204"/>
    <w:rsid w:val="005562E4"/>
    <w:rsid w:val="00556357"/>
    <w:rsid w:val="0055749F"/>
    <w:rsid w:val="00560D13"/>
    <w:rsid w:val="00560F50"/>
    <w:rsid w:val="00561B6A"/>
    <w:rsid w:val="005630BB"/>
    <w:rsid w:val="00563381"/>
    <w:rsid w:val="005633F1"/>
    <w:rsid w:val="005635FB"/>
    <w:rsid w:val="00565052"/>
    <w:rsid w:val="00566477"/>
    <w:rsid w:val="00566B70"/>
    <w:rsid w:val="00567E75"/>
    <w:rsid w:val="0057007E"/>
    <w:rsid w:val="0057038C"/>
    <w:rsid w:val="005707F7"/>
    <w:rsid w:val="005727DA"/>
    <w:rsid w:val="00572A83"/>
    <w:rsid w:val="0057384A"/>
    <w:rsid w:val="00573A6B"/>
    <w:rsid w:val="00573FA6"/>
    <w:rsid w:val="00574D94"/>
    <w:rsid w:val="00575186"/>
    <w:rsid w:val="00575B30"/>
    <w:rsid w:val="00575E97"/>
    <w:rsid w:val="0057605A"/>
    <w:rsid w:val="00576866"/>
    <w:rsid w:val="00576A9F"/>
    <w:rsid w:val="00576EFA"/>
    <w:rsid w:val="00577080"/>
    <w:rsid w:val="00577797"/>
    <w:rsid w:val="00577B8A"/>
    <w:rsid w:val="005800BD"/>
    <w:rsid w:val="00580734"/>
    <w:rsid w:val="00580ABC"/>
    <w:rsid w:val="005816CD"/>
    <w:rsid w:val="00581F36"/>
    <w:rsid w:val="005826CA"/>
    <w:rsid w:val="00582B4D"/>
    <w:rsid w:val="0058321F"/>
    <w:rsid w:val="0058372A"/>
    <w:rsid w:val="005837A3"/>
    <w:rsid w:val="00584687"/>
    <w:rsid w:val="0058499F"/>
    <w:rsid w:val="005852CB"/>
    <w:rsid w:val="00586380"/>
    <w:rsid w:val="00587388"/>
    <w:rsid w:val="005879F1"/>
    <w:rsid w:val="00590911"/>
    <w:rsid w:val="00591E0F"/>
    <w:rsid w:val="00592030"/>
    <w:rsid w:val="0059232A"/>
    <w:rsid w:val="00592E62"/>
    <w:rsid w:val="00593BC9"/>
    <w:rsid w:val="005956F3"/>
    <w:rsid w:val="00596690"/>
    <w:rsid w:val="00596899"/>
    <w:rsid w:val="00596CBE"/>
    <w:rsid w:val="005A038B"/>
    <w:rsid w:val="005A149E"/>
    <w:rsid w:val="005A23AC"/>
    <w:rsid w:val="005A3CC2"/>
    <w:rsid w:val="005A3F08"/>
    <w:rsid w:val="005A4099"/>
    <w:rsid w:val="005A4CBC"/>
    <w:rsid w:val="005A5B6E"/>
    <w:rsid w:val="005A6DEC"/>
    <w:rsid w:val="005A7036"/>
    <w:rsid w:val="005A7CBC"/>
    <w:rsid w:val="005B0CBD"/>
    <w:rsid w:val="005B0E49"/>
    <w:rsid w:val="005B12D2"/>
    <w:rsid w:val="005B1C67"/>
    <w:rsid w:val="005B1D52"/>
    <w:rsid w:val="005B20C0"/>
    <w:rsid w:val="005B284C"/>
    <w:rsid w:val="005B4586"/>
    <w:rsid w:val="005B55E5"/>
    <w:rsid w:val="005B66B6"/>
    <w:rsid w:val="005B6C73"/>
    <w:rsid w:val="005B71E9"/>
    <w:rsid w:val="005B799D"/>
    <w:rsid w:val="005C0332"/>
    <w:rsid w:val="005C13D0"/>
    <w:rsid w:val="005C15E3"/>
    <w:rsid w:val="005C16D7"/>
    <w:rsid w:val="005C2A2C"/>
    <w:rsid w:val="005C37B2"/>
    <w:rsid w:val="005C56C2"/>
    <w:rsid w:val="005C590B"/>
    <w:rsid w:val="005C5AC0"/>
    <w:rsid w:val="005C5AC3"/>
    <w:rsid w:val="005C5E02"/>
    <w:rsid w:val="005D0E6A"/>
    <w:rsid w:val="005D0FBF"/>
    <w:rsid w:val="005D317A"/>
    <w:rsid w:val="005D4D5D"/>
    <w:rsid w:val="005D5B5C"/>
    <w:rsid w:val="005D69FA"/>
    <w:rsid w:val="005D7497"/>
    <w:rsid w:val="005D7700"/>
    <w:rsid w:val="005E05DF"/>
    <w:rsid w:val="005E0EF1"/>
    <w:rsid w:val="005E1919"/>
    <w:rsid w:val="005E1F07"/>
    <w:rsid w:val="005E24C6"/>
    <w:rsid w:val="005E2CC7"/>
    <w:rsid w:val="005E34C5"/>
    <w:rsid w:val="005E48E3"/>
    <w:rsid w:val="005E509D"/>
    <w:rsid w:val="005E5E05"/>
    <w:rsid w:val="005E6869"/>
    <w:rsid w:val="005E6EDB"/>
    <w:rsid w:val="005E73F5"/>
    <w:rsid w:val="005F0247"/>
    <w:rsid w:val="005F0691"/>
    <w:rsid w:val="005F1FC9"/>
    <w:rsid w:val="005F248E"/>
    <w:rsid w:val="005F46E2"/>
    <w:rsid w:val="005F4828"/>
    <w:rsid w:val="005F5C7B"/>
    <w:rsid w:val="005F5EA7"/>
    <w:rsid w:val="005F7CD0"/>
    <w:rsid w:val="00601340"/>
    <w:rsid w:val="00601FF3"/>
    <w:rsid w:val="00602405"/>
    <w:rsid w:val="006024D9"/>
    <w:rsid w:val="00603E9B"/>
    <w:rsid w:val="006041AC"/>
    <w:rsid w:val="006045B6"/>
    <w:rsid w:val="0060477B"/>
    <w:rsid w:val="00604B46"/>
    <w:rsid w:val="00606D8B"/>
    <w:rsid w:val="0060792B"/>
    <w:rsid w:val="00607F33"/>
    <w:rsid w:val="00610FB9"/>
    <w:rsid w:val="00611783"/>
    <w:rsid w:val="00615944"/>
    <w:rsid w:val="00615D28"/>
    <w:rsid w:val="00616E20"/>
    <w:rsid w:val="00617AC8"/>
    <w:rsid w:val="0062109D"/>
    <w:rsid w:val="00621E9E"/>
    <w:rsid w:val="00622EA3"/>
    <w:rsid w:val="00624A2B"/>
    <w:rsid w:val="00624AD3"/>
    <w:rsid w:val="0062622F"/>
    <w:rsid w:val="00627484"/>
    <w:rsid w:val="006275CF"/>
    <w:rsid w:val="00627A03"/>
    <w:rsid w:val="00627FF2"/>
    <w:rsid w:val="006306DE"/>
    <w:rsid w:val="00632124"/>
    <w:rsid w:val="00632A59"/>
    <w:rsid w:val="0063357B"/>
    <w:rsid w:val="00633B0F"/>
    <w:rsid w:val="00633D4B"/>
    <w:rsid w:val="006342CB"/>
    <w:rsid w:val="00635131"/>
    <w:rsid w:val="00635C9F"/>
    <w:rsid w:val="006360EA"/>
    <w:rsid w:val="00636FDE"/>
    <w:rsid w:val="00637777"/>
    <w:rsid w:val="00640D9C"/>
    <w:rsid w:val="006414C0"/>
    <w:rsid w:val="00643819"/>
    <w:rsid w:val="0064422E"/>
    <w:rsid w:val="00644F2F"/>
    <w:rsid w:val="00647763"/>
    <w:rsid w:val="006477B0"/>
    <w:rsid w:val="00650165"/>
    <w:rsid w:val="00651858"/>
    <w:rsid w:val="006525F5"/>
    <w:rsid w:val="00652D44"/>
    <w:rsid w:val="00653092"/>
    <w:rsid w:val="00653B2B"/>
    <w:rsid w:val="0065502D"/>
    <w:rsid w:val="00657280"/>
    <w:rsid w:val="00660D5F"/>
    <w:rsid w:val="00660E86"/>
    <w:rsid w:val="00661E8B"/>
    <w:rsid w:val="006622A4"/>
    <w:rsid w:val="00662501"/>
    <w:rsid w:val="006629B2"/>
    <w:rsid w:val="006632B4"/>
    <w:rsid w:val="00663832"/>
    <w:rsid w:val="00663C7E"/>
    <w:rsid w:val="00665300"/>
    <w:rsid w:val="006653E2"/>
    <w:rsid w:val="00665D89"/>
    <w:rsid w:val="0066609C"/>
    <w:rsid w:val="00670079"/>
    <w:rsid w:val="0067049E"/>
    <w:rsid w:val="00670864"/>
    <w:rsid w:val="00671E7F"/>
    <w:rsid w:val="00671EDC"/>
    <w:rsid w:val="00672552"/>
    <w:rsid w:val="00672682"/>
    <w:rsid w:val="00672C69"/>
    <w:rsid w:val="00672F31"/>
    <w:rsid w:val="0067318A"/>
    <w:rsid w:val="00674CB4"/>
    <w:rsid w:val="00674CEB"/>
    <w:rsid w:val="00675281"/>
    <w:rsid w:val="006760C6"/>
    <w:rsid w:val="00677678"/>
    <w:rsid w:val="0067793C"/>
    <w:rsid w:val="00677979"/>
    <w:rsid w:val="006803C7"/>
    <w:rsid w:val="00680DC2"/>
    <w:rsid w:val="00681E77"/>
    <w:rsid w:val="00681F3E"/>
    <w:rsid w:val="0068241F"/>
    <w:rsid w:val="0068251E"/>
    <w:rsid w:val="00682573"/>
    <w:rsid w:val="006825D9"/>
    <w:rsid w:val="00683A9C"/>
    <w:rsid w:val="00683BF8"/>
    <w:rsid w:val="00683F47"/>
    <w:rsid w:val="00684313"/>
    <w:rsid w:val="00684E71"/>
    <w:rsid w:val="0068541C"/>
    <w:rsid w:val="00685519"/>
    <w:rsid w:val="00685BFB"/>
    <w:rsid w:val="006867D3"/>
    <w:rsid w:val="00687445"/>
    <w:rsid w:val="006874A6"/>
    <w:rsid w:val="00687574"/>
    <w:rsid w:val="00687A27"/>
    <w:rsid w:val="00691367"/>
    <w:rsid w:val="00692B56"/>
    <w:rsid w:val="00693EF4"/>
    <w:rsid w:val="00694345"/>
    <w:rsid w:val="00695276"/>
    <w:rsid w:val="006958A5"/>
    <w:rsid w:val="006965CB"/>
    <w:rsid w:val="0069781E"/>
    <w:rsid w:val="006A09E5"/>
    <w:rsid w:val="006A0DC3"/>
    <w:rsid w:val="006A0FC1"/>
    <w:rsid w:val="006A141A"/>
    <w:rsid w:val="006A1911"/>
    <w:rsid w:val="006A1B72"/>
    <w:rsid w:val="006A1E20"/>
    <w:rsid w:val="006A215F"/>
    <w:rsid w:val="006A412E"/>
    <w:rsid w:val="006A505D"/>
    <w:rsid w:val="006A53FB"/>
    <w:rsid w:val="006A6748"/>
    <w:rsid w:val="006A6B61"/>
    <w:rsid w:val="006A6CE9"/>
    <w:rsid w:val="006A7000"/>
    <w:rsid w:val="006A778D"/>
    <w:rsid w:val="006A7AA4"/>
    <w:rsid w:val="006B0389"/>
    <w:rsid w:val="006B068F"/>
    <w:rsid w:val="006B0752"/>
    <w:rsid w:val="006B0856"/>
    <w:rsid w:val="006B09BC"/>
    <w:rsid w:val="006B11AE"/>
    <w:rsid w:val="006B1892"/>
    <w:rsid w:val="006B2197"/>
    <w:rsid w:val="006B21A7"/>
    <w:rsid w:val="006B372D"/>
    <w:rsid w:val="006B3AAE"/>
    <w:rsid w:val="006B549E"/>
    <w:rsid w:val="006B597C"/>
    <w:rsid w:val="006B5CFC"/>
    <w:rsid w:val="006B6DBD"/>
    <w:rsid w:val="006B7F45"/>
    <w:rsid w:val="006C084B"/>
    <w:rsid w:val="006C0E8B"/>
    <w:rsid w:val="006C15F8"/>
    <w:rsid w:val="006C24F9"/>
    <w:rsid w:val="006C2AC2"/>
    <w:rsid w:val="006C39F3"/>
    <w:rsid w:val="006C3C2B"/>
    <w:rsid w:val="006C3C56"/>
    <w:rsid w:val="006C46E9"/>
    <w:rsid w:val="006C6730"/>
    <w:rsid w:val="006C77A0"/>
    <w:rsid w:val="006D100F"/>
    <w:rsid w:val="006D2517"/>
    <w:rsid w:val="006D2E8D"/>
    <w:rsid w:val="006D335E"/>
    <w:rsid w:val="006D5CCB"/>
    <w:rsid w:val="006D6FDE"/>
    <w:rsid w:val="006D73D4"/>
    <w:rsid w:val="006D7682"/>
    <w:rsid w:val="006E102F"/>
    <w:rsid w:val="006E15F1"/>
    <w:rsid w:val="006E1B00"/>
    <w:rsid w:val="006E1ED6"/>
    <w:rsid w:val="006E2787"/>
    <w:rsid w:val="006E43A0"/>
    <w:rsid w:val="006E54E6"/>
    <w:rsid w:val="006E5AAE"/>
    <w:rsid w:val="006E678E"/>
    <w:rsid w:val="006E760C"/>
    <w:rsid w:val="006E7F5E"/>
    <w:rsid w:val="006F1A5C"/>
    <w:rsid w:val="006F26B9"/>
    <w:rsid w:val="006F30E6"/>
    <w:rsid w:val="006F398D"/>
    <w:rsid w:val="006F4128"/>
    <w:rsid w:val="006F4D68"/>
    <w:rsid w:val="006F5339"/>
    <w:rsid w:val="006F5480"/>
    <w:rsid w:val="006F57E0"/>
    <w:rsid w:val="006F5B1D"/>
    <w:rsid w:val="006F6086"/>
    <w:rsid w:val="006F61C9"/>
    <w:rsid w:val="006F61E1"/>
    <w:rsid w:val="006F6939"/>
    <w:rsid w:val="006F6A4F"/>
    <w:rsid w:val="006F6AFD"/>
    <w:rsid w:val="006F6DCA"/>
    <w:rsid w:val="006F7300"/>
    <w:rsid w:val="006F7D93"/>
    <w:rsid w:val="00700B86"/>
    <w:rsid w:val="00701A9A"/>
    <w:rsid w:val="00702E12"/>
    <w:rsid w:val="00702F85"/>
    <w:rsid w:val="0070382D"/>
    <w:rsid w:val="007073A2"/>
    <w:rsid w:val="007074CE"/>
    <w:rsid w:val="00707E14"/>
    <w:rsid w:val="0071001F"/>
    <w:rsid w:val="007104C9"/>
    <w:rsid w:val="00711243"/>
    <w:rsid w:val="0071200F"/>
    <w:rsid w:val="0071284A"/>
    <w:rsid w:val="0071294C"/>
    <w:rsid w:val="00712AD7"/>
    <w:rsid w:val="00713117"/>
    <w:rsid w:val="0071391C"/>
    <w:rsid w:val="00713A4F"/>
    <w:rsid w:val="0071449C"/>
    <w:rsid w:val="0071452A"/>
    <w:rsid w:val="0071479E"/>
    <w:rsid w:val="0071579B"/>
    <w:rsid w:val="00715E78"/>
    <w:rsid w:val="00716B82"/>
    <w:rsid w:val="0071799D"/>
    <w:rsid w:val="00717B17"/>
    <w:rsid w:val="00717FD7"/>
    <w:rsid w:val="00720A2D"/>
    <w:rsid w:val="00721A83"/>
    <w:rsid w:val="00721B9F"/>
    <w:rsid w:val="00722C63"/>
    <w:rsid w:val="00723168"/>
    <w:rsid w:val="00724075"/>
    <w:rsid w:val="0072415F"/>
    <w:rsid w:val="00725BFA"/>
    <w:rsid w:val="00726154"/>
    <w:rsid w:val="007265A3"/>
    <w:rsid w:val="00730091"/>
    <w:rsid w:val="007300C0"/>
    <w:rsid w:val="0073072A"/>
    <w:rsid w:val="00730E34"/>
    <w:rsid w:val="0073142A"/>
    <w:rsid w:val="007323F5"/>
    <w:rsid w:val="00733EB2"/>
    <w:rsid w:val="0073510D"/>
    <w:rsid w:val="00737207"/>
    <w:rsid w:val="0073792B"/>
    <w:rsid w:val="00737CA0"/>
    <w:rsid w:val="007401D2"/>
    <w:rsid w:val="0074069F"/>
    <w:rsid w:val="00742E92"/>
    <w:rsid w:val="0074367B"/>
    <w:rsid w:val="00743EE1"/>
    <w:rsid w:val="00744797"/>
    <w:rsid w:val="00744E15"/>
    <w:rsid w:val="00745C27"/>
    <w:rsid w:val="007463D2"/>
    <w:rsid w:val="007466E1"/>
    <w:rsid w:val="00747C6D"/>
    <w:rsid w:val="0075016E"/>
    <w:rsid w:val="00750F39"/>
    <w:rsid w:val="00751232"/>
    <w:rsid w:val="007512C6"/>
    <w:rsid w:val="00751ACD"/>
    <w:rsid w:val="00751D54"/>
    <w:rsid w:val="0075313D"/>
    <w:rsid w:val="007532AA"/>
    <w:rsid w:val="007532EC"/>
    <w:rsid w:val="00754175"/>
    <w:rsid w:val="00754903"/>
    <w:rsid w:val="00755EAB"/>
    <w:rsid w:val="00755F22"/>
    <w:rsid w:val="0075626D"/>
    <w:rsid w:val="007566EC"/>
    <w:rsid w:val="00756C4C"/>
    <w:rsid w:val="00757BEF"/>
    <w:rsid w:val="00757E74"/>
    <w:rsid w:val="00761405"/>
    <w:rsid w:val="007619D5"/>
    <w:rsid w:val="00761A79"/>
    <w:rsid w:val="00761AA4"/>
    <w:rsid w:val="00761BB1"/>
    <w:rsid w:val="00761FA9"/>
    <w:rsid w:val="00762551"/>
    <w:rsid w:val="007629F8"/>
    <w:rsid w:val="0076311E"/>
    <w:rsid w:val="007632E0"/>
    <w:rsid w:val="00763B67"/>
    <w:rsid w:val="007649C4"/>
    <w:rsid w:val="00764D4C"/>
    <w:rsid w:val="00765B39"/>
    <w:rsid w:val="00766877"/>
    <w:rsid w:val="00766AC7"/>
    <w:rsid w:val="00770803"/>
    <w:rsid w:val="00772755"/>
    <w:rsid w:val="00772C9E"/>
    <w:rsid w:val="007731CB"/>
    <w:rsid w:val="00773759"/>
    <w:rsid w:val="0077556C"/>
    <w:rsid w:val="00775881"/>
    <w:rsid w:val="007759AE"/>
    <w:rsid w:val="00775CD3"/>
    <w:rsid w:val="007767E1"/>
    <w:rsid w:val="0077683E"/>
    <w:rsid w:val="0077739D"/>
    <w:rsid w:val="007773FF"/>
    <w:rsid w:val="00780931"/>
    <w:rsid w:val="0078156F"/>
    <w:rsid w:val="007815F1"/>
    <w:rsid w:val="0078216A"/>
    <w:rsid w:val="007833D5"/>
    <w:rsid w:val="0078399E"/>
    <w:rsid w:val="00783D3F"/>
    <w:rsid w:val="00783EC3"/>
    <w:rsid w:val="00784EBC"/>
    <w:rsid w:val="00786833"/>
    <w:rsid w:val="0078704A"/>
    <w:rsid w:val="0078709D"/>
    <w:rsid w:val="00787727"/>
    <w:rsid w:val="00787FB8"/>
    <w:rsid w:val="007900B7"/>
    <w:rsid w:val="00790FA1"/>
    <w:rsid w:val="0079117A"/>
    <w:rsid w:val="007911E6"/>
    <w:rsid w:val="00791A0E"/>
    <w:rsid w:val="007930FD"/>
    <w:rsid w:val="0079387E"/>
    <w:rsid w:val="00793CFB"/>
    <w:rsid w:val="00794867"/>
    <w:rsid w:val="0079508B"/>
    <w:rsid w:val="007954B5"/>
    <w:rsid w:val="007963A9"/>
    <w:rsid w:val="007A07AB"/>
    <w:rsid w:val="007A0C91"/>
    <w:rsid w:val="007A211C"/>
    <w:rsid w:val="007A3CBB"/>
    <w:rsid w:val="007A3EF8"/>
    <w:rsid w:val="007A40D2"/>
    <w:rsid w:val="007A5727"/>
    <w:rsid w:val="007A5CB0"/>
    <w:rsid w:val="007A6DE8"/>
    <w:rsid w:val="007A6F63"/>
    <w:rsid w:val="007A74AF"/>
    <w:rsid w:val="007B01E1"/>
    <w:rsid w:val="007B1EBB"/>
    <w:rsid w:val="007B23AA"/>
    <w:rsid w:val="007B3117"/>
    <w:rsid w:val="007B393F"/>
    <w:rsid w:val="007B3F0C"/>
    <w:rsid w:val="007B4195"/>
    <w:rsid w:val="007B5057"/>
    <w:rsid w:val="007B5C16"/>
    <w:rsid w:val="007B5E7F"/>
    <w:rsid w:val="007B62F8"/>
    <w:rsid w:val="007C0183"/>
    <w:rsid w:val="007C11BF"/>
    <w:rsid w:val="007C1E17"/>
    <w:rsid w:val="007C3460"/>
    <w:rsid w:val="007C4331"/>
    <w:rsid w:val="007C4B01"/>
    <w:rsid w:val="007C563B"/>
    <w:rsid w:val="007C59D0"/>
    <w:rsid w:val="007C5E58"/>
    <w:rsid w:val="007C5F40"/>
    <w:rsid w:val="007C7757"/>
    <w:rsid w:val="007C77A4"/>
    <w:rsid w:val="007C7820"/>
    <w:rsid w:val="007C7BE6"/>
    <w:rsid w:val="007D06D5"/>
    <w:rsid w:val="007D0BAF"/>
    <w:rsid w:val="007D1235"/>
    <w:rsid w:val="007D1FE3"/>
    <w:rsid w:val="007D46BF"/>
    <w:rsid w:val="007D635A"/>
    <w:rsid w:val="007D6479"/>
    <w:rsid w:val="007D6AA7"/>
    <w:rsid w:val="007D6CCB"/>
    <w:rsid w:val="007D6E97"/>
    <w:rsid w:val="007E1580"/>
    <w:rsid w:val="007E1CAC"/>
    <w:rsid w:val="007E1D94"/>
    <w:rsid w:val="007E1E82"/>
    <w:rsid w:val="007E20DC"/>
    <w:rsid w:val="007E2888"/>
    <w:rsid w:val="007E3163"/>
    <w:rsid w:val="007E3508"/>
    <w:rsid w:val="007E424F"/>
    <w:rsid w:val="007E468E"/>
    <w:rsid w:val="007E6AA4"/>
    <w:rsid w:val="007E6CDE"/>
    <w:rsid w:val="007E6FB2"/>
    <w:rsid w:val="007F0534"/>
    <w:rsid w:val="007F09BB"/>
    <w:rsid w:val="007F0F4B"/>
    <w:rsid w:val="007F178C"/>
    <w:rsid w:val="007F1922"/>
    <w:rsid w:val="007F25B5"/>
    <w:rsid w:val="007F35B1"/>
    <w:rsid w:val="007F399F"/>
    <w:rsid w:val="007F4C88"/>
    <w:rsid w:val="007F60E4"/>
    <w:rsid w:val="007F61EA"/>
    <w:rsid w:val="007F65F1"/>
    <w:rsid w:val="007F6C07"/>
    <w:rsid w:val="007F6D47"/>
    <w:rsid w:val="007F7593"/>
    <w:rsid w:val="007F76B9"/>
    <w:rsid w:val="008001B3"/>
    <w:rsid w:val="00800D8B"/>
    <w:rsid w:val="00801182"/>
    <w:rsid w:val="00801583"/>
    <w:rsid w:val="00801BFE"/>
    <w:rsid w:val="00802044"/>
    <w:rsid w:val="00802158"/>
    <w:rsid w:val="008028AE"/>
    <w:rsid w:val="00802B61"/>
    <w:rsid w:val="00802C73"/>
    <w:rsid w:val="00802D12"/>
    <w:rsid w:val="00806D21"/>
    <w:rsid w:val="008079B4"/>
    <w:rsid w:val="00807F82"/>
    <w:rsid w:val="00810A3B"/>
    <w:rsid w:val="0081162F"/>
    <w:rsid w:val="008126C8"/>
    <w:rsid w:val="00812D85"/>
    <w:rsid w:val="0081501A"/>
    <w:rsid w:val="00815192"/>
    <w:rsid w:val="008153CD"/>
    <w:rsid w:val="00815EF2"/>
    <w:rsid w:val="008179D1"/>
    <w:rsid w:val="008208C8"/>
    <w:rsid w:val="00820C6E"/>
    <w:rsid w:val="00821AD4"/>
    <w:rsid w:val="008227EE"/>
    <w:rsid w:val="0082303E"/>
    <w:rsid w:val="00823A4D"/>
    <w:rsid w:val="00824A72"/>
    <w:rsid w:val="00824B88"/>
    <w:rsid w:val="008251A1"/>
    <w:rsid w:val="008251E2"/>
    <w:rsid w:val="008252E4"/>
    <w:rsid w:val="008261C1"/>
    <w:rsid w:val="00826404"/>
    <w:rsid w:val="00827368"/>
    <w:rsid w:val="00827E51"/>
    <w:rsid w:val="00830AA7"/>
    <w:rsid w:val="008317B3"/>
    <w:rsid w:val="00832AD5"/>
    <w:rsid w:val="00833758"/>
    <w:rsid w:val="00833934"/>
    <w:rsid w:val="00833A47"/>
    <w:rsid w:val="0083438E"/>
    <w:rsid w:val="00835A37"/>
    <w:rsid w:val="00836177"/>
    <w:rsid w:val="00836448"/>
    <w:rsid w:val="0083681D"/>
    <w:rsid w:val="00836A9A"/>
    <w:rsid w:val="00837101"/>
    <w:rsid w:val="008371F3"/>
    <w:rsid w:val="00837405"/>
    <w:rsid w:val="00837732"/>
    <w:rsid w:val="008377A7"/>
    <w:rsid w:val="008405CA"/>
    <w:rsid w:val="0084083B"/>
    <w:rsid w:val="0084089E"/>
    <w:rsid w:val="00840C60"/>
    <w:rsid w:val="00841643"/>
    <w:rsid w:val="00841FFF"/>
    <w:rsid w:val="00842C97"/>
    <w:rsid w:val="00842E5D"/>
    <w:rsid w:val="00842F6A"/>
    <w:rsid w:val="00843914"/>
    <w:rsid w:val="0084395A"/>
    <w:rsid w:val="00844FD4"/>
    <w:rsid w:val="008459E4"/>
    <w:rsid w:val="008463FD"/>
    <w:rsid w:val="00846561"/>
    <w:rsid w:val="00846A7F"/>
    <w:rsid w:val="0085027F"/>
    <w:rsid w:val="008502A7"/>
    <w:rsid w:val="00850D4A"/>
    <w:rsid w:val="00851027"/>
    <w:rsid w:val="00851219"/>
    <w:rsid w:val="00851442"/>
    <w:rsid w:val="00852176"/>
    <w:rsid w:val="008521B9"/>
    <w:rsid w:val="00852B49"/>
    <w:rsid w:val="00853654"/>
    <w:rsid w:val="00853742"/>
    <w:rsid w:val="00855E56"/>
    <w:rsid w:val="00856C70"/>
    <w:rsid w:val="00856FC9"/>
    <w:rsid w:val="00857031"/>
    <w:rsid w:val="00857274"/>
    <w:rsid w:val="00857D6F"/>
    <w:rsid w:val="008601AA"/>
    <w:rsid w:val="00861743"/>
    <w:rsid w:val="008632A3"/>
    <w:rsid w:val="00865954"/>
    <w:rsid w:val="00865D1D"/>
    <w:rsid w:val="00866530"/>
    <w:rsid w:val="00870B63"/>
    <w:rsid w:val="0087219C"/>
    <w:rsid w:val="00873DE6"/>
    <w:rsid w:val="008741C5"/>
    <w:rsid w:val="00874721"/>
    <w:rsid w:val="00874D84"/>
    <w:rsid w:val="008752DA"/>
    <w:rsid w:val="00875A2A"/>
    <w:rsid w:val="00875B85"/>
    <w:rsid w:val="00875EBA"/>
    <w:rsid w:val="008805DB"/>
    <w:rsid w:val="0088069E"/>
    <w:rsid w:val="00880AE2"/>
    <w:rsid w:val="0088103A"/>
    <w:rsid w:val="00881DAD"/>
    <w:rsid w:val="008823E3"/>
    <w:rsid w:val="00883A12"/>
    <w:rsid w:val="00884DB7"/>
    <w:rsid w:val="00885E08"/>
    <w:rsid w:val="00887DB8"/>
    <w:rsid w:val="00890A99"/>
    <w:rsid w:val="00890F81"/>
    <w:rsid w:val="00891041"/>
    <w:rsid w:val="00891C6D"/>
    <w:rsid w:val="00891E61"/>
    <w:rsid w:val="00892367"/>
    <w:rsid w:val="0089251E"/>
    <w:rsid w:val="008932B6"/>
    <w:rsid w:val="008934AF"/>
    <w:rsid w:val="00893B0A"/>
    <w:rsid w:val="00893F2D"/>
    <w:rsid w:val="00894068"/>
    <w:rsid w:val="0089540B"/>
    <w:rsid w:val="008959BA"/>
    <w:rsid w:val="0089606B"/>
    <w:rsid w:val="0089611F"/>
    <w:rsid w:val="0089613B"/>
    <w:rsid w:val="0089777E"/>
    <w:rsid w:val="00897BE6"/>
    <w:rsid w:val="00897F2B"/>
    <w:rsid w:val="008A020D"/>
    <w:rsid w:val="008A0298"/>
    <w:rsid w:val="008A0647"/>
    <w:rsid w:val="008A15A7"/>
    <w:rsid w:val="008A17B8"/>
    <w:rsid w:val="008A2503"/>
    <w:rsid w:val="008A2C94"/>
    <w:rsid w:val="008A3908"/>
    <w:rsid w:val="008A3D18"/>
    <w:rsid w:val="008A4181"/>
    <w:rsid w:val="008A462C"/>
    <w:rsid w:val="008A5FEC"/>
    <w:rsid w:val="008A63E4"/>
    <w:rsid w:val="008A653C"/>
    <w:rsid w:val="008A653E"/>
    <w:rsid w:val="008B053B"/>
    <w:rsid w:val="008B0D79"/>
    <w:rsid w:val="008B1446"/>
    <w:rsid w:val="008B15BB"/>
    <w:rsid w:val="008B1BBF"/>
    <w:rsid w:val="008B2480"/>
    <w:rsid w:val="008B340B"/>
    <w:rsid w:val="008B3610"/>
    <w:rsid w:val="008B3B08"/>
    <w:rsid w:val="008B3E1E"/>
    <w:rsid w:val="008B4992"/>
    <w:rsid w:val="008B4AC0"/>
    <w:rsid w:val="008B5551"/>
    <w:rsid w:val="008B5D3A"/>
    <w:rsid w:val="008B6015"/>
    <w:rsid w:val="008B79D3"/>
    <w:rsid w:val="008C001E"/>
    <w:rsid w:val="008C01C2"/>
    <w:rsid w:val="008C08ED"/>
    <w:rsid w:val="008C0C65"/>
    <w:rsid w:val="008C1B63"/>
    <w:rsid w:val="008C1D1C"/>
    <w:rsid w:val="008C2D18"/>
    <w:rsid w:val="008C2D5D"/>
    <w:rsid w:val="008C3FCE"/>
    <w:rsid w:val="008C4455"/>
    <w:rsid w:val="008C55E4"/>
    <w:rsid w:val="008C638F"/>
    <w:rsid w:val="008C6E4A"/>
    <w:rsid w:val="008D01AF"/>
    <w:rsid w:val="008D1012"/>
    <w:rsid w:val="008D2E50"/>
    <w:rsid w:val="008D3713"/>
    <w:rsid w:val="008D3955"/>
    <w:rsid w:val="008D3A8B"/>
    <w:rsid w:val="008D3C4D"/>
    <w:rsid w:val="008D4645"/>
    <w:rsid w:val="008D61BD"/>
    <w:rsid w:val="008D768A"/>
    <w:rsid w:val="008D7735"/>
    <w:rsid w:val="008D789A"/>
    <w:rsid w:val="008E0DA8"/>
    <w:rsid w:val="008E2152"/>
    <w:rsid w:val="008E225F"/>
    <w:rsid w:val="008E2C53"/>
    <w:rsid w:val="008E2FB3"/>
    <w:rsid w:val="008E31B3"/>
    <w:rsid w:val="008E3D98"/>
    <w:rsid w:val="008E3E9C"/>
    <w:rsid w:val="008E651A"/>
    <w:rsid w:val="008E6C82"/>
    <w:rsid w:val="008E7AF7"/>
    <w:rsid w:val="008F0DEB"/>
    <w:rsid w:val="008F0F9D"/>
    <w:rsid w:val="008F1041"/>
    <w:rsid w:val="008F1412"/>
    <w:rsid w:val="008F244E"/>
    <w:rsid w:val="008F27C7"/>
    <w:rsid w:val="008F2857"/>
    <w:rsid w:val="008F3CE1"/>
    <w:rsid w:val="008F429C"/>
    <w:rsid w:val="008F4991"/>
    <w:rsid w:val="008F5059"/>
    <w:rsid w:val="008F537B"/>
    <w:rsid w:val="008F567C"/>
    <w:rsid w:val="008F641E"/>
    <w:rsid w:val="008F6B22"/>
    <w:rsid w:val="008F70C5"/>
    <w:rsid w:val="008F7CDE"/>
    <w:rsid w:val="00900464"/>
    <w:rsid w:val="00900A46"/>
    <w:rsid w:val="00902293"/>
    <w:rsid w:val="00902360"/>
    <w:rsid w:val="0090260C"/>
    <w:rsid w:val="00902901"/>
    <w:rsid w:val="00902E3F"/>
    <w:rsid w:val="009033CE"/>
    <w:rsid w:val="00903A44"/>
    <w:rsid w:val="00904422"/>
    <w:rsid w:val="00904C05"/>
    <w:rsid w:val="00904FC9"/>
    <w:rsid w:val="0090554C"/>
    <w:rsid w:val="00906E91"/>
    <w:rsid w:val="00907EAE"/>
    <w:rsid w:val="00910B87"/>
    <w:rsid w:val="009114D7"/>
    <w:rsid w:val="00911658"/>
    <w:rsid w:val="00911A65"/>
    <w:rsid w:val="009120E9"/>
    <w:rsid w:val="00913417"/>
    <w:rsid w:val="00914873"/>
    <w:rsid w:val="009159DD"/>
    <w:rsid w:val="00915CC9"/>
    <w:rsid w:val="0091628D"/>
    <w:rsid w:val="00916868"/>
    <w:rsid w:val="0091736F"/>
    <w:rsid w:val="009173EB"/>
    <w:rsid w:val="00917727"/>
    <w:rsid w:val="009178B9"/>
    <w:rsid w:val="00917A30"/>
    <w:rsid w:val="0092099C"/>
    <w:rsid w:val="009210FC"/>
    <w:rsid w:val="0092165B"/>
    <w:rsid w:val="00921976"/>
    <w:rsid w:val="00922282"/>
    <w:rsid w:val="009237EB"/>
    <w:rsid w:val="009241A6"/>
    <w:rsid w:val="00925335"/>
    <w:rsid w:val="009261C4"/>
    <w:rsid w:val="00926392"/>
    <w:rsid w:val="009263A9"/>
    <w:rsid w:val="00926AC7"/>
    <w:rsid w:val="00926B30"/>
    <w:rsid w:val="00927F80"/>
    <w:rsid w:val="0093022E"/>
    <w:rsid w:val="009304F7"/>
    <w:rsid w:val="009313EC"/>
    <w:rsid w:val="0093151D"/>
    <w:rsid w:val="00931B86"/>
    <w:rsid w:val="00931F00"/>
    <w:rsid w:val="00932096"/>
    <w:rsid w:val="009329C6"/>
    <w:rsid w:val="0093347D"/>
    <w:rsid w:val="0093380C"/>
    <w:rsid w:val="00933B15"/>
    <w:rsid w:val="00934906"/>
    <w:rsid w:val="00935118"/>
    <w:rsid w:val="00935738"/>
    <w:rsid w:val="00935DDF"/>
    <w:rsid w:val="00936701"/>
    <w:rsid w:val="009375D8"/>
    <w:rsid w:val="00941015"/>
    <w:rsid w:val="009413FE"/>
    <w:rsid w:val="009425C2"/>
    <w:rsid w:val="00942C35"/>
    <w:rsid w:val="009436E4"/>
    <w:rsid w:val="00943BD6"/>
    <w:rsid w:val="0094492A"/>
    <w:rsid w:val="009453AC"/>
    <w:rsid w:val="00945A42"/>
    <w:rsid w:val="00946C0A"/>
    <w:rsid w:val="009472B4"/>
    <w:rsid w:val="00947935"/>
    <w:rsid w:val="00947DBE"/>
    <w:rsid w:val="009500A6"/>
    <w:rsid w:val="0095075B"/>
    <w:rsid w:val="00950C1E"/>
    <w:rsid w:val="00951B77"/>
    <w:rsid w:val="00952260"/>
    <w:rsid w:val="00953914"/>
    <w:rsid w:val="00954991"/>
    <w:rsid w:val="00955592"/>
    <w:rsid w:val="0095581F"/>
    <w:rsid w:val="00956255"/>
    <w:rsid w:val="00956A93"/>
    <w:rsid w:val="009576E6"/>
    <w:rsid w:val="009578AA"/>
    <w:rsid w:val="009603BA"/>
    <w:rsid w:val="009604B8"/>
    <w:rsid w:val="00961A56"/>
    <w:rsid w:val="00963FC3"/>
    <w:rsid w:val="00964545"/>
    <w:rsid w:val="00964888"/>
    <w:rsid w:val="00964989"/>
    <w:rsid w:val="00964A9A"/>
    <w:rsid w:val="00964D5D"/>
    <w:rsid w:val="00966166"/>
    <w:rsid w:val="00970B19"/>
    <w:rsid w:val="00971474"/>
    <w:rsid w:val="0097252C"/>
    <w:rsid w:val="00972ACB"/>
    <w:rsid w:val="00972EC0"/>
    <w:rsid w:val="00976FE3"/>
    <w:rsid w:val="00980C78"/>
    <w:rsid w:val="00981BA7"/>
    <w:rsid w:val="00981D54"/>
    <w:rsid w:val="00981F6C"/>
    <w:rsid w:val="00982A90"/>
    <w:rsid w:val="00982F72"/>
    <w:rsid w:val="00983004"/>
    <w:rsid w:val="009838A8"/>
    <w:rsid w:val="00983F80"/>
    <w:rsid w:val="00984100"/>
    <w:rsid w:val="009844AC"/>
    <w:rsid w:val="009856FF"/>
    <w:rsid w:val="00985906"/>
    <w:rsid w:val="00990053"/>
    <w:rsid w:val="009906FB"/>
    <w:rsid w:val="00990C07"/>
    <w:rsid w:val="00990C85"/>
    <w:rsid w:val="00991356"/>
    <w:rsid w:val="009913E0"/>
    <w:rsid w:val="009918BC"/>
    <w:rsid w:val="0099247A"/>
    <w:rsid w:val="00992B00"/>
    <w:rsid w:val="00993335"/>
    <w:rsid w:val="00993B83"/>
    <w:rsid w:val="00993DF2"/>
    <w:rsid w:val="0099415C"/>
    <w:rsid w:val="009941CE"/>
    <w:rsid w:val="009978D4"/>
    <w:rsid w:val="00997DF2"/>
    <w:rsid w:val="00997E00"/>
    <w:rsid w:val="009A0CF4"/>
    <w:rsid w:val="009A0E65"/>
    <w:rsid w:val="009A1DD7"/>
    <w:rsid w:val="009A1E16"/>
    <w:rsid w:val="009A2801"/>
    <w:rsid w:val="009A39E8"/>
    <w:rsid w:val="009A3CD3"/>
    <w:rsid w:val="009A4497"/>
    <w:rsid w:val="009A58F6"/>
    <w:rsid w:val="009A5D90"/>
    <w:rsid w:val="009A5D9D"/>
    <w:rsid w:val="009A5E47"/>
    <w:rsid w:val="009A631F"/>
    <w:rsid w:val="009A6B3F"/>
    <w:rsid w:val="009A7FE5"/>
    <w:rsid w:val="009B1686"/>
    <w:rsid w:val="009B3E9A"/>
    <w:rsid w:val="009B59AF"/>
    <w:rsid w:val="009B69A0"/>
    <w:rsid w:val="009C0191"/>
    <w:rsid w:val="009C054B"/>
    <w:rsid w:val="009C0A20"/>
    <w:rsid w:val="009C0DFD"/>
    <w:rsid w:val="009C1BB7"/>
    <w:rsid w:val="009C1F2F"/>
    <w:rsid w:val="009C22C0"/>
    <w:rsid w:val="009C2704"/>
    <w:rsid w:val="009C27AB"/>
    <w:rsid w:val="009C2DEA"/>
    <w:rsid w:val="009C2ED5"/>
    <w:rsid w:val="009C6959"/>
    <w:rsid w:val="009C7160"/>
    <w:rsid w:val="009D0849"/>
    <w:rsid w:val="009D1AE4"/>
    <w:rsid w:val="009D26D6"/>
    <w:rsid w:val="009D305A"/>
    <w:rsid w:val="009D316D"/>
    <w:rsid w:val="009D38EF"/>
    <w:rsid w:val="009D3D9A"/>
    <w:rsid w:val="009D4014"/>
    <w:rsid w:val="009D4A5A"/>
    <w:rsid w:val="009D529A"/>
    <w:rsid w:val="009D6BB1"/>
    <w:rsid w:val="009D71A4"/>
    <w:rsid w:val="009D77E8"/>
    <w:rsid w:val="009E01FE"/>
    <w:rsid w:val="009E1648"/>
    <w:rsid w:val="009E1A41"/>
    <w:rsid w:val="009E201E"/>
    <w:rsid w:val="009E29EF"/>
    <w:rsid w:val="009E34D3"/>
    <w:rsid w:val="009E3AEC"/>
    <w:rsid w:val="009E5C59"/>
    <w:rsid w:val="009E6140"/>
    <w:rsid w:val="009E6CDB"/>
    <w:rsid w:val="009E729E"/>
    <w:rsid w:val="009F0F38"/>
    <w:rsid w:val="009F41D8"/>
    <w:rsid w:val="009F5093"/>
    <w:rsid w:val="009F5BA6"/>
    <w:rsid w:val="009F61A3"/>
    <w:rsid w:val="009F61F0"/>
    <w:rsid w:val="009F6EEC"/>
    <w:rsid w:val="009F71E2"/>
    <w:rsid w:val="009F795F"/>
    <w:rsid w:val="00A021EC"/>
    <w:rsid w:val="00A036BF"/>
    <w:rsid w:val="00A0495C"/>
    <w:rsid w:val="00A06135"/>
    <w:rsid w:val="00A067D7"/>
    <w:rsid w:val="00A072C1"/>
    <w:rsid w:val="00A07829"/>
    <w:rsid w:val="00A07868"/>
    <w:rsid w:val="00A07E5F"/>
    <w:rsid w:val="00A111D2"/>
    <w:rsid w:val="00A120F0"/>
    <w:rsid w:val="00A14232"/>
    <w:rsid w:val="00A14EAF"/>
    <w:rsid w:val="00A15756"/>
    <w:rsid w:val="00A15B4B"/>
    <w:rsid w:val="00A15BBC"/>
    <w:rsid w:val="00A15EB4"/>
    <w:rsid w:val="00A16633"/>
    <w:rsid w:val="00A16DD3"/>
    <w:rsid w:val="00A16E57"/>
    <w:rsid w:val="00A1776B"/>
    <w:rsid w:val="00A200BE"/>
    <w:rsid w:val="00A200D0"/>
    <w:rsid w:val="00A2116E"/>
    <w:rsid w:val="00A21748"/>
    <w:rsid w:val="00A22155"/>
    <w:rsid w:val="00A23241"/>
    <w:rsid w:val="00A23A37"/>
    <w:rsid w:val="00A23EDF"/>
    <w:rsid w:val="00A241C9"/>
    <w:rsid w:val="00A2522C"/>
    <w:rsid w:val="00A25EC6"/>
    <w:rsid w:val="00A25F22"/>
    <w:rsid w:val="00A27D0A"/>
    <w:rsid w:val="00A30027"/>
    <w:rsid w:val="00A302EB"/>
    <w:rsid w:val="00A30744"/>
    <w:rsid w:val="00A30835"/>
    <w:rsid w:val="00A30B41"/>
    <w:rsid w:val="00A32089"/>
    <w:rsid w:val="00A32521"/>
    <w:rsid w:val="00A32F6A"/>
    <w:rsid w:val="00A33CDA"/>
    <w:rsid w:val="00A348EF"/>
    <w:rsid w:val="00A34E30"/>
    <w:rsid w:val="00A35571"/>
    <w:rsid w:val="00A35642"/>
    <w:rsid w:val="00A369BA"/>
    <w:rsid w:val="00A36DDF"/>
    <w:rsid w:val="00A36E2B"/>
    <w:rsid w:val="00A37982"/>
    <w:rsid w:val="00A40F47"/>
    <w:rsid w:val="00A4151B"/>
    <w:rsid w:val="00A418FB"/>
    <w:rsid w:val="00A41EE5"/>
    <w:rsid w:val="00A4320C"/>
    <w:rsid w:val="00A43415"/>
    <w:rsid w:val="00A43713"/>
    <w:rsid w:val="00A437DC"/>
    <w:rsid w:val="00A44303"/>
    <w:rsid w:val="00A44531"/>
    <w:rsid w:val="00A44784"/>
    <w:rsid w:val="00A44D79"/>
    <w:rsid w:val="00A44F0E"/>
    <w:rsid w:val="00A44F5D"/>
    <w:rsid w:val="00A451AB"/>
    <w:rsid w:val="00A451E1"/>
    <w:rsid w:val="00A46B4F"/>
    <w:rsid w:val="00A5068F"/>
    <w:rsid w:val="00A508EB"/>
    <w:rsid w:val="00A5097E"/>
    <w:rsid w:val="00A50ED9"/>
    <w:rsid w:val="00A5117A"/>
    <w:rsid w:val="00A5237F"/>
    <w:rsid w:val="00A523DB"/>
    <w:rsid w:val="00A529D9"/>
    <w:rsid w:val="00A52F66"/>
    <w:rsid w:val="00A55122"/>
    <w:rsid w:val="00A551DF"/>
    <w:rsid w:val="00A552F6"/>
    <w:rsid w:val="00A55303"/>
    <w:rsid w:val="00A574FC"/>
    <w:rsid w:val="00A57755"/>
    <w:rsid w:val="00A57966"/>
    <w:rsid w:val="00A60071"/>
    <w:rsid w:val="00A609A5"/>
    <w:rsid w:val="00A60AFB"/>
    <w:rsid w:val="00A60B46"/>
    <w:rsid w:val="00A6166C"/>
    <w:rsid w:val="00A61900"/>
    <w:rsid w:val="00A6193D"/>
    <w:rsid w:val="00A61F79"/>
    <w:rsid w:val="00A622E8"/>
    <w:rsid w:val="00A62591"/>
    <w:rsid w:val="00A64DEB"/>
    <w:rsid w:val="00A65D2A"/>
    <w:rsid w:val="00A6642E"/>
    <w:rsid w:val="00A67E4D"/>
    <w:rsid w:val="00A70F20"/>
    <w:rsid w:val="00A71C7D"/>
    <w:rsid w:val="00A71EE4"/>
    <w:rsid w:val="00A7212A"/>
    <w:rsid w:val="00A72587"/>
    <w:rsid w:val="00A73074"/>
    <w:rsid w:val="00A736F7"/>
    <w:rsid w:val="00A742B1"/>
    <w:rsid w:val="00A750A5"/>
    <w:rsid w:val="00A75965"/>
    <w:rsid w:val="00A75F8A"/>
    <w:rsid w:val="00A7651B"/>
    <w:rsid w:val="00A804AD"/>
    <w:rsid w:val="00A80931"/>
    <w:rsid w:val="00A80A15"/>
    <w:rsid w:val="00A81DD4"/>
    <w:rsid w:val="00A822B4"/>
    <w:rsid w:val="00A822E4"/>
    <w:rsid w:val="00A82AD9"/>
    <w:rsid w:val="00A82EA3"/>
    <w:rsid w:val="00A83BB1"/>
    <w:rsid w:val="00A8505D"/>
    <w:rsid w:val="00A85AAF"/>
    <w:rsid w:val="00A8768D"/>
    <w:rsid w:val="00A923A3"/>
    <w:rsid w:val="00A92926"/>
    <w:rsid w:val="00A937A6"/>
    <w:rsid w:val="00A937AC"/>
    <w:rsid w:val="00A937F2"/>
    <w:rsid w:val="00A97073"/>
    <w:rsid w:val="00AA18AE"/>
    <w:rsid w:val="00AA2613"/>
    <w:rsid w:val="00AA2A1D"/>
    <w:rsid w:val="00AA39EE"/>
    <w:rsid w:val="00AA3AC1"/>
    <w:rsid w:val="00AA550E"/>
    <w:rsid w:val="00AA573A"/>
    <w:rsid w:val="00AA5D2E"/>
    <w:rsid w:val="00AA7305"/>
    <w:rsid w:val="00AA75EE"/>
    <w:rsid w:val="00AB0517"/>
    <w:rsid w:val="00AB14A9"/>
    <w:rsid w:val="00AB2E10"/>
    <w:rsid w:val="00AB3B12"/>
    <w:rsid w:val="00AB4833"/>
    <w:rsid w:val="00AB5C20"/>
    <w:rsid w:val="00AB6080"/>
    <w:rsid w:val="00AB614F"/>
    <w:rsid w:val="00AB7C3E"/>
    <w:rsid w:val="00AB7E80"/>
    <w:rsid w:val="00AC0551"/>
    <w:rsid w:val="00AC0A15"/>
    <w:rsid w:val="00AC1A62"/>
    <w:rsid w:val="00AC1D3E"/>
    <w:rsid w:val="00AC1FA7"/>
    <w:rsid w:val="00AC33B6"/>
    <w:rsid w:val="00AC3F11"/>
    <w:rsid w:val="00AC4515"/>
    <w:rsid w:val="00AC4591"/>
    <w:rsid w:val="00AC48BC"/>
    <w:rsid w:val="00AC5950"/>
    <w:rsid w:val="00AC6420"/>
    <w:rsid w:val="00AC6EC4"/>
    <w:rsid w:val="00AD0AC8"/>
    <w:rsid w:val="00AD0B5F"/>
    <w:rsid w:val="00AD180F"/>
    <w:rsid w:val="00AD1CE8"/>
    <w:rsid w:val="00AD2225"/>
    <w:rsid w:val="00AD352D"/>
    <w:rsid w:val="00AD3FF7"/>
    <w:rsid w:val="00AD483A"/>
    <w:rsid w:val="00AD499D"/>
    <w:rsid w:val="00AD5B8A"/>
    <w:rsid w:val="00AD5F6B"/>
    <w:rsid w:val="00AD656D"/>
    <w:rsid w:val="00AD666A"/>
    <w:rsid w:val="00AD68D8"/>
    <w:rsid w:val="00AD6DA1"/>
    <w:rsid w:val="00AD7D2F"/>
    <w:rsid w:val="00AE011C"/>
    <w:rsid w:val="00AE03F2"/>
    <w:rsid w:val="00AE08D3"/>
    <w:rsid w:val="00AE1081"/>
    <w:rsid w:val="00AE1191"/>
    <w:rsid w:val="00AE2598"/>
    <w:rsid w:val="00AE3852"/>
    <w:rsid w:val="00AE3E94"/>
    <w:rsid w:val="00AE454E"/>
    <w:rsid w:val="00AE4C9C"/>
    <w:rsid w:val="00AE55C3"/>
    <w:rsid w:val="00AE60F4"/>
    <w:rsid w:val="00AE63F0"/>
    <w:rsid w:val="00AE6F84"/>
    <w:rsid w:val="00AE70B8"/>
    <w:rsid w:val="00AF03BE"/>
    <w:rsid w:val="00AF0C9F"/>
    <w:rsid w:val="00AF0E54"/>
    <w:rsid w:val="00AF0F78"/>
    <w:rsid w:val="00AF2C26"/>
    <w:rsid w:val="00AF34B5"/>
    <w:rsid w:val="00AF492A"/>
    <w:rsid w:val="00AF524D"/>
    <w:rsid w:val="00AF5455"/>
    <w:rsid w:val="00AF6D36"/>
    <w:rsid w:val="00AF7271"/>
    <w:rsid w:val="00AF7743"/>
    <w:rsid w:val="00AF7D26"/>
    <w:rsid w:val="00AF7DEC"/>
    <w:rsid w:val="00B001DF"/>
    <w:rsid w:val="00B01844"/>
    <w:rsid w:val="00B01C67"/>
    <w:rsid w:val="00B02363"/>
    <w:rsid w:val="00B0304C"/>
    <w:rsid w:val="00B0335C"/>
    <w:rsid w:val="00B0446C"/>
    <w:rsid w:val="00B0512E"/>
    <w:rsid w:val="00B05353"/>
    <w:rsid w:val="00B06165"/>
    <w:rsid w:val="00B061A6"/>
    <w:rsid w:val="00B064B2"/>
    <w:rsid w:val="00B0668D"/>
    <w:rsid w:val="00B06887"/>
    <w:rsid w:val="00B07CFD"/>
    <w:rsid w:val="00B106A0"/>
    <w:rsid w:val="00B10BC4"/>
    <w:rsid w:val="00B11494"/>
    <w:rsid w:val="00B11D35"/>
    <w:rsid w:val="00B121E8"/>
    <w:rsid w:val="00B12559"/>
    <w:rsid w:val="00B12FD7"/>
    <w:rsid w:val="00B13859"/>
    <w:rsid w:val="00B13A0E"/>
    <w:rsid w:val="00B152A2"/>
    <w:rsid w:val="00B1553D"/>
    <w:rsid w:val="00B15924"/>
    <w:rsid w:val="00B15C8E"/>
    <w:rsid w:val="00B16828"/>
    <w:rsid w:val="00B17C7C"/>
    <w:rsid w:val="00B207F8"/>
    <w:rsid w:val="00B20A40"/>
    <w:rsid w:val="00B20B2C"/>
    <w:rsid w:val="00B20CA6"/>
    <w:rsid w:val="00B20E88"/>
    <w:rsid w:val="00B21A9A"/>
    <w:rsid w:val="00B21E95"/>
    <w:rsid w:val="00B238F5"/>
    <w:rsid w:val="00B24E93"/>
    <w:rsid w:val="00B24FAD"/>
    <w:rsid w:val="00B267DD"/>
    <w:rsid w:val="00B26AA5"/>
    <w:rsid w:val="00B27486"/>
    <w:rsid w:val="00B3072B"/>
    <w:rsid w:val="00B3094F"/>
    <w:rsid w:val="00B30ADF"/>
    <w:rsid w:val="00B3148F"/>
    <w:rsid w:val="00B31A91"/>
    <w:rsid w:val="00B32064"/>
    <w:rsid w:val="00B3293F"/>
    <w:rsid w:val="00B33877"/>
    <w:rsid w:val="00B35553"/>
    <w:rsid w:val="00B35D55"/>
    <w:rsid w:val="00B35F8D"/>
    <w:rsid w:val="00B36E5C"/>
    <w:rsid w:val="00B37412"/>
    <w:rsid w:val="00B375B1"/>
    <w:rsid w:val="00B41084"/>
    <w:rsid w:val="00B4151D"/>
    <w:rsid w:val="00B42813"/>
    <w:rsid w:val="00B42A70"/>
    <w:rsid w:val="00B42FBD"/>
    <w:rsid w:val="00B45C1B"/>
    <w:rsid w:val="00B47040"/>
    <w:rsid w:val="00B525A3"/>
    <w:rsid w:val="00B52D85"/>
    <w:rsid w:val="00B539AB"/>
    <w:rsid w:val="00B540F7"/>
    <w:rsid w:val="00B5412C"/>
    <w:rsid w:val="00B54406"/>
    <w:rsid w:val="00B54A41"/>
    <w:rsid w:val="00B55189"/>
    <w:rsid w:val="00B56AFB"/>
    <w:rsid w:val="00B56BD4"/>
    <w:rsid w:val="00B57D00"/>
    <w:rsid w:val="00B57D59"/>
    <w:rsid w:val="00B602CE"/>
    <w:rsid w:val="00B607E9"/>
    <w:rsid w:val="00B60B03"/>
    <w:rsid w:val="00B60C5E"/>
    <w:rsid w:val="00B616BE"/>
    <w:rsid w:val="00B61925"/>
    <w:rsid w:val="00B620B1"/>
    <w:rsid w:val="00B62A2A"/>
    <w:rsid w:val="00B632C1"/>
    <w:rsid w:val="00B636A9"/>
    <w:rsid w:val="00B63A6B"/>
    <w:rsid w:val="00B63BD6"/>
    <w:rsid w:val="00B6400B"/>
    <w:rsid w:val="00B64DF4"/>
    <w:rsid w:val="00B659C8"/>
    <w:rsid w:val="00B6600C"/>
    <w:rsid w:val="00B660BE"/>
    <w:rsid w:val="00B66744"/>
    <w:rsid w:val="00B72238"/>
    <w:rsid w:val="00B74F41"/>
    <w:rsid w:val="00B751EB"/>
    <w:rsid w:val="00B7559F"/>
    <w:rsid w:val="00B7718A"/>
    <w:rsid w:val="00B806E7"/>
    <w:rsid w:val="00B8117B"/>
    <w:rsid w:val="00B81520"/>
    <w:rsid w:val="00B81626"/>
    <w:rsid w:val="00B81C83"/>
    <w:rsid w:val="00B82460"/>
    <w:rsid w:val="00B8247F"/>
    <w:rsid w:val="00B8276B"/>
    <w:rsid w:val="00B8331C"/>
    <w:rsid w:val="00B84774"/>
    <w:rsid w:val="00B84A11"/>
    <w:rsid w:val="00B84C89"/>
    <w:rsid w:val="00B85379"/>
    <w:rsid w:val="00B855E0"/>
    <w:rsid w:val="00B85CD6"/>
    <w:rsid w:val="00B86B5E"/>
    <w:rsid w:val="00B86E8E"/>
    <w:rsid w:val="00B87807"/>
    <w:rsid w:val="00B87AE9"/>
    <w:rsid w:val="00B87EB5"/>
    <w:rsid w:val="00B90233"/>
    <w:rsid w:val="00B903B1"/>
    <w:rsid w:val="00B90676"/>
    <w:rsid w:val="00B90FBE"/>
    <w:rsid w:val="00B918F8"/>
    <w:rsid w:val="00B9241A"/>
    <w:rsid w:val="00B92C6D"/>
    <w:rsid w:val="00B92ED3"/>
    <w:rsid w:val="00B9424F"/>
    <w:rsid w:val="00B94524"/>
    <w:rsid w:val="00B94901"/>
    <w:rsid w:val="00B9538E"/>
    <w:rsid w:val="00B9550F"/>
    <w:rsid w:val="00B956B0"/>
    <w:rsid w:val="00B95B39"/>
    <w:rsid w:val="00B95CC2"/>
    <w:rsid w:val="00B9634F"/>
    <w:rsid w:val="00B9722B"/>
    <w:rsid w:val="00B97EC0"/>
    <w:rsid w:val="00BA0385"/>
    <w:rsid w:val="00BA0883"/>
    <w:rsid w:val="00BA12CD"/>
    <w:rsid w:val="00BA1387"/>
    <w:rsid w:val="00BA1DE8"/>
    <w:rsid w:val="00BA40F6"/>
    <w:rsid w:val="00BA42A3"/>
    <w:rsid w:val="00BA4C59"/>
    <w:rsid w:val="00BA5823"/>
    <w:rsid w:val="00BA64E1"/>
    <w:rsid w:val="00BA779C"/>
    <w:rsid w:val="00BB06A6"/>
    <w:rsid w:val="00BB1442"/>
    <w:rsid w:val="00BB14E4"/>
    <w:rsid w:val="00BB1EE5"/>
    <w:rsid w:val="00BB2109"/>
    <w:rsid w:val="00BB2415"/>
    <w:rsid w:val="00BB3279"/>
    <w:rsid w:val="00BB3949"/>
    <w:rsid w:val="00BB4175"/>
    <w:rsid w:val="00BB4E7F"/>
    <w:rsid w:val="00BB5373"/>
    <w:rsid w:val="00BB53F7"/>
    <w:rsid w:val="00BB7232"/>
    <w:rsid w:val="00BB74A2"/>
    <w:rsid w:val="00BB77CA"/>
    <w:rsid w:val="00BB7BCB"/>
    <w:rsid w:val="00BB7F8D"/>
    <w:rsid w:val="00BC036B"/>
    <w:rsid w:val="00BC08FF"/>
    <w:rsid w:val="00BC149E"/>
    <w:rsid w:val="00BC152E"/>
    <w:rsid w:val="00BC168C"/>
    <w:rsid w:val="00BC1A94"/>
    <w:rsid w:val="00BC1FC5"/>
    <w:rsid w:val="00BC3C7E"/>
    <w:rsid w:val="00BC4412"/>
    <w:rsid w:val="00BC4424"/>
    <w:rsid w:val="00BC4E64"/>
    <w:rsid w:val="00BC5A64"/>
    <w:rsid w:val="00BC5F8C"/>
    <w:rsid w:val="00BC63F8"/>
    <w:rsid w:val="00BC695A"/>
    <w:rsid w:val="00BC7B1E"/>
    <w:rsid w:val="00BD11DA"/>
    <w:rsid w:val="00BD1C0C"/>
    <w:rsid w:val="00BD26F2"/>
    <w:rsid w:val="00BD53EB"/>
    <w:rsid w:val="00BD57CD"/>
    <w:rsid w:val="00BD5DCF"/>
    <w:rsid w:val="00BD730E"/>
    <w:rsid w:val="00BE0D6C"/>
    <w:rsid w:val="00BE11EF"/>
    <w:rsid w:val="00BE2044"/>
    <w:rsid w:val="00BE37A0"/>
    <w:rsid w:val="00BE581F"/>
    <w:rsid w:val="00BE5F49"/>
    <w:rsid w:val="00BE66AF"/>
    <w:rsid w:val="00BE7346"/>
    <w:rsid w:val="00BF0BDA"/>
    <w:rsid w:val="00BF13A0"/>
    <w:rsid w:val="00BF1EC5"/>
    <w:rsid w:val="00BF20F1"/>
    <w:rsid w:val="00BF2CC5"/>
    <w:rsid w:val="00BF2EDF"/>
    <w:rsid w:val="00BF32A3"/>
    <w:rsid w:val="00BF3B58"/>
    <w:rsid w:val="00BF4942"/>
    <w:rsid w:val="00BF4B17"/>
    <w:rsid w:val="00BF5658"/>
    <w:rsid w:val="00BF699F"/>
    <w:rsid w:val="00C0071F"/>
    <w:rsid w:val="00C00D93"/>
    <w:rsid w:val="00C0112E"/>
    <w:rsid w:val="00C013D8"/>
    <w:rsid w:val="00C01993"/>
    <w:rsid w:val="00C01C9B"/>
    <w:rsid w:val="00C05055"/>
    <w:rsid w:val="00C056A0"/>
    <w:rsid w:val="00C06431"/>
    <w:rsid w:val="00C06A9E"/>
    <w:rsid w:val="00C0799B"/>
    <w:rsid w:val="00C07AC9"/>
    <w:rsid w:val="00C1015A"/>
    <w:rsid w:val="00C103E9"/>
    <w:rsid w:val="00C10810"/>
    <w:rsid w:val="00C11180"/>
    <w:rsid w:val="00C113B2"/>
    <w:rsid w:val="00C11B8C"/>
    <w:rsid w:val="00C11F50"/>
    <w:rsid w:val="00C12C51"/>
    <w:rsid w:val="00C1405B"/>
    <w:rsid w:val="00C15194"/>
    <w:rsid w:val="00C155AE"/>
    <w:rsid w:val="00C15A8B"/>
    <w:rsid w:val="00C15B47"/>
    <w:rsid w:val="00C1776E"/>
    <w:rsid w:val="00C21556"/>
    <w:rsid w:val="00C21617"/>
    <w:rsid w:val="00C21711"/>
    <w:rsid w:val="00C21743"/>
    <w:rsid w:val="00C237CE"/>
    <w:rsid w:val="00C24AD0"/>
    <w:rsid w:val="00C25025"/>
    <w:rsid w:val="00C2516A"/>
    <w:rsid w:val="00C25B67"/>
    <w:rsid w:val="00C26E90"/>
    <w:rsid w:val="00C2779C"/>
    <w:rsid w:val="00C27957"/>
    <w:rsid w:val="00C3021D"/>
    <w:rsid w:val="00C305D0"/>
    <w:rsid w:val="00C307CE"/>
    <w:rsid w:val="00C308E7"/>
    <w:rsid w:val="00C312C0"/>
    <w:rsid w:val="00C329BA"/>
    <w:rsid w:val="00C336A7"/>
    <w:rsid w:val="00C35BED"/>
    <w:rsid w:val="00C36F9D"/>
    <w:rsid w:val="00C37AF1"/>
    <w:rsid w:val="00C40C53"/>
    <w:rsid w:val="00C427FD"/>
    <w:rsid w:val="00C43213"/>
    <w:rsid w:val="00C43635"/>
    <w:rsid w:val="00C43ECF"/>
    <w:rsid w:val="00C45036"/>
    <w:rsid w:val="00C459D4"/>
    <w:rsid w:val="00C45F67"/>
    <w:rsid w:val="00C479C3"/>
    <w:rsid w:val="00C47A3E"/>
    <w:rsid w:val="00C47D03"/>
    <w:rsid w:val="00C502EE"/>
    <w:rsid w:val="00C5089D"/>
    <w:rsid w:val="00C518AE"/>
    <w:rsid w:val="00C53984"/>
    <w:rsid w:val="00C53BA6"/>
    <w:rsid w:val="00C54314"/>
    <w:rsid w:val="00C54DCA"/>
    <w:rsid w:val="00C56EF0"/>
    <w:rsid w:val="00C57014"/>
    <w:rsid w:val="00C5712F"/>
    <w:rsid w:val="00C57E4F"/>
    <w:rsid w:val="00C6001D"/>
    <w:rsid w:val="00C601A1"/>
    <w:rsid w:val="00C601CB"/>
    <w:rsid w:val="00C604CB"/>
    <w:rsid w:val="00C614FC"/>
    <w:rsid w:val="00C61628"/>
    <w:rsid w:val="00C617BC"/>
    <w:rsid w:val="00C61BC4"/>
    <w:rsid w:val="00C61D73"/>
    <w:rsid w:val="00C620AF"/>
    <w:rsid w:val="00C62CD5"/>
    <w:rsid w:val="00C65501"/>
    <w:rsid w:val="00C658AA"/>
    <w:rsid w:val="00C66AC3"/>
    <w:rsid w:val="00C66F6F"/>
    <w:rsid w:val="00C67130"/>
    <w:rsid w:val="00C70D32"/>
    <w:rsid w:val="00C71AA3"/>
    <w:rsid w:val="00C7234F"/>
    <w:rsid w:val="00C72E7F"/>
    <w:rsid w:val="00C72F92"/>
    <w:rsid w:val="00C73387"/>
    <w:rsid w:val="00C736F0"/>
    <w:rsid w:val="00C738C9"/>
    <w:rsid w:val="00C74052"/>
    <w:rsid w:val="00C743FD"/>
    <w:rsid w:val="00C7496E"/>
    <w:rsid w:val="00C74A55"/>
    <w:rsid w:val="00C7689F"/>
    <w:rsid w:val="00C76B7A"/>
    <w:rsid w:val="00C76B7D"/>
    <w:rsid w:val="00C77B15"/>
    <w:rsid w:val="00C801C6"/>
    <w:rsid w:val="00C80A18"/>
    <w:rsid w:val="00C8175C"/>
    <w:rsid w:val="00C82F3A"/>
    <w:rsid w:val="00C83273"/>
    <w:rsid w:val="00C833DB"/>
    <w:rsid w:val="00C83C98"/>
    <w:rsid w:val="00C87D4B"/>
    <w:rsid w:val="00C87F9A"/>
    <w:rsid w:val="00C909DE"/>
    <w:rsid w:val="00C91141"/>
    <w:rsid w:val="00C9158D"/>
    <w:rsid w:val="00C926EC"/>
    <w:rsid w:val="00C935C6"/>
    <w:rsid w:val="00C93C29"/>
    <w:rsid w:val="00C93D38"/>
    <w:rsid w:val="00C93DCF"/>
    <w:rsid w:val="00C95CC8"/>
    <w:rsid w:val="00C95E13"/>
    <w:rsid w:val="00C96120"/>
    <w:rsid w:val="00C975D4"/>
    <w:rsid w:val="00CA057C"/>
    <w:rsid w:val="00CA1C76"/>
    <w:rsid w:val="00CA2576"/>
    <w:rsid w:val="00CA327A"/>
    <w:rsid w:val="00CA553C"/>
    <w:rsid w:val="00CA567E"/>
    <w:rsid w:val="00CA5B84"/>
    <w:rsid w:val="00CA6061"/>
    <w:rsid w:val="00CA6A83"/>
    <w:rsid w:val="00CA70AA"/>
    <w:rsid w:val="00CB01EC"/>
    <w:rsid w:val="00CB0304"/>
    <w:rsid w:val="00CB11D6"/>
    <w:rsid w:val="00CB1A4D"/>
    <w:rsid w:val="00CB1BBB"/>
    <w:rsid w:val="00CB25F2"/>
    <w:rsid w:val="00CB3FDD"/>
    <w:rsid w:val="00CB4160"/>
    <w:rsid w:val="00CB42A5"/>
    <w:rsid w:val="00CB5BEB"/>
    <w:rsid w:val="00CB6942"/>
    <w:rsid w:val="00CB6949"/>
    <w:rsid w:val="00CB6A0D"/>
    <w:rsid w:val="00CC0216"/>
    <w:rsid w:val="00CC045F"/>
    <w:rsid w:val="00CC0F2E"/>
    <w:rsid w:val="00CC1762"/>
    <w:rsid w:val="00CC1CAC"/>
    <w:rsid w:val="00CC2297"/>
    <w:rsid w:val="00CC29CD"/>
    <w:rsid w:val="00CC3949"/>
    <w:rsid w:val="00CC3C34"/>
    <w:rsid w:val="00CC3E15"/>
    <w:rsid w:val="00CC4C5E"/>
    <w:rsid w:val="00CC51B0"/>
    <w:rsid w:val="00CC5A64"/>
    <w:rsid w:val="00CC6BF8"/>
    <w:rsid w:val="00CC7897"/>
    <w:rsid w:val="00CD0714"/>
    <w:rsid w:val="00CD2535"/>
    <w:rsid w:val="00CD254F"/>
    <w:rsid w:val="00CD2573"/>
    <w:rsid w:val="00CD3846"/>
    <w:rsid w:val="00CD3F2B"/>
    <w:rsid w:val="00CD4708"/>
    <w:rsid w:val="00CD4E99"/>
    <w:rsid w:val="00CD57D1"/>
    <w:rsid w:val="00CD6C18"/>
    <w:rsid w:val="00CD7746"/>
    <w:rsid w:val="00CE16D7"/>
    <w:rsid w:val="00CE1DAF"/>
    <w:rsid w:val="00CE29DF"/>
    <w:rsid w:val="00CE334F"/>
    <w:rsid w:val="00CE35F0"/>
    <w:rsid w:val="00CE394E"/>
    <w:rsid w:val="00CE4C46"/>
    <w:rsid w:val="00CE5670"/>
    <w:rsid w:val="00CE5B2E"/>
    <w:rsid w:val="00CE7DB1"/>
    <w:rsid w:val="00CF01D9"/>
    <w:rsid w:val="00CF2330"/>
    <w:rsid w:val="00CF23D4"/>
    <w:rsid w:val="00CF2E85"/>
    <w:rsid w:val="00CF2F95"/>
    <w:rsid w:val="00CF3761"/>
    <w:rsid w:val="00CF3810"/>
    <w:rsid w:val="00CF385C"/>
    <w:rsid w:val="00CF5023"/>
    <w:rsid w:val="00CF5DCA"/>
    <w:rsid w:val="00CF6F52"/>
    <w:rsid w:val="00CF70EF"/>
    <w:rsid w:val="00CF746A"/>
    <w:rsid w:val="00D00BE7"/>
    <w:rsid w:val="00D0108E"/>
    <w:rsid w:val="00D015F3"/>
    <w:rsid w:val="00D017C8"/>
    <w:rsid w:val="00D0224C"/>
    <w:rsid w:val="00D025AE"/>
    <w:rsid w:val="00D0268B"/>
    <w:rsid w:val="00D02902"/>
    <w:rsid w:val="00D02E22"/>
    <w:rsid w:val="00D03D31"/>
    <w:rsid w:val="00D0467D"/>
    <w:rsid w:val="00D057BB"/>
    <w:rsid w:val="00D063F8"/>
    <w:rsid w:val="00D07EF3"/>
    <w:rsid w:val="00D07FF8"/>
    <w:rsid w:val="00D1005E"/>
    <w:rsid w:val="00D102BC"/>
    <w:rsid w:val="00D10688"/>
    <w:rsid w:val="00D10F3F"/>
    <w:rsid w:val="00D11B91"/>
    <w:rsid w:val="00D12766"/>
    <w:rsid w:val="00D132D4"/>
    <w:rsid w:val="00D1374B"/>
    <w:rsid w:val="00D1413B"/>
    <w:rsid w:val="00D15D9F"/>
    <w:rsid w:val="00D16E97"/>
    <w:rsid w:val="00D17B73"/>
    <w:rsid w:val="00D17D19"/>
    <w:rsid w:val="00D17EC3"/>
    <w:rsid w:val="00D206F5"/>
    <w:rsid w:val="00D22B20"/>
    <w:rsid w:val="00D22C74"/>
    <w:rsid w:val="00D24B48"/>
    <w:rsid w:val="00D260FD"/>
    <w:rsid w:val="00D2676B"/>
    <w:rsid w:val="00D31582"/>
    <w:rsid w:val="00D315CE"/>
    <w:rsid w:val="00D340C4"/>
    <w:rsid w:val="00D378F4"/>
    <w:rsid w:val="00D4088B"/>
    <w:rsid w:val="00D40A90"/>
    <w:rsid w:val="00D418AF"/>
    <w:rsid w:val="00D41950"/>
    <w:rsid w:val="00D41D9F"/>
    <w:rsid w:val="00D43A2E"/>
    <w:rsid w:val="00D44548"/>
    <w:rsid w:val="00D44A16"/>
    <w:rsid w:val="00D45A93"/>
    <w:rsid w:val="00D46BBC"/>
    <w:rsid w:val="00D46C30"/>
    <w:rsid w:val="00D46CD6"/>
    <w:rsid w:val="00D47C50"/>
    <w:rsid w:val="00D50823"/>
    <w:rsid w:val="00D51D2E"/>
    <w:rsid w:val="00D52DE4"/>
    <w:rsid w:val="00D5484A"/>
    <w:rsid w:val="00D54868"/>
    <w:rsid w:val="00D54888"/>
    <w:rsid w:val="00D555C1"/>
    <w:rsid w:val="00D5605B"/>
    <w:rsid w:val="00D5614D"/>
    <w:rsid w:val="00D56C6A"/>
    <w:rsid w:val="00D57189"/>
    <w:rsid w:val="00D62177"/>
    <w:rsid w:val="00D622B9"/>
    <w:rsid w:val="00D632F2"/>
    <w:rsid w:val="00D64648"/>
    <w:rsid w:val="00D64888"/>
    <w:rsid w:val="00D652CD"/>
    <w:rsid w:val="00D65A4B"/>
    <w:rsid w:val="00D66578"/>
    <w:rsid w:val="00D66B0C"/>
    <w:rsid w:val="00D66DAF"/>
    <w:rsid w:val="00D70026"/>
    <w:rsid w:val="00D7062A"/>
    <w:rsid w:val="00D70C94"/>
    <w:rsid w:val="00D71D59"/>
    <w:rsid w:val="00D7227D"/>
    <w:rsid w:val="00D72667"/>
    <w:rsid w:val="00D727C4"/>
    <w:rsid w:val="00D72D59"/>
    <w:rsid w:val="00D73264"/>
    <w:rsid w:val="00D73C54"/>
    <w:rsid w:val="00D75468"/>
    <w:rsid w:val="00D756EC"/>
    <w:rsid w:val="00D75D65"/>
    <w:rsid w:val="00D80055"/>
    <w:rsid w:val="00D81799"/>
    <w:rsid w:val="00D81A94"/>
    <w:rsid w:val="00D8319E"/>
    <w:rsid w:val="00D83DCD"/>
    <w:rsid w:val="00D84C61"/>
    <w:rsid w:val="00D854A1"/>
    <w:rsid w:val="00D857D5"/>
    <w:rsid w:val="00D85B10"/>
    <w:rsid w:val="00D87484"/>
    <w:rsid w:val="00D876F9"/>
    <w:rsid w:val="00D87D1E"/>
    <w:rsid w:val="00D916B5"/>
    <w:rsid w:val="00D92CFB"/>
    <w:rsid w:val="00D92D43"/>
    <w:rsid w:val="00D94531"/>
    <w:rsid w:val="00DA0E05"/>
    <w:rsid w:val="00DA0F6E"/>
    <w:rsid w:val="00DA24AC"/>
    <w:rsid w:val="00DA259A"/>
    <w:rsid w:val="00DA2F70"/>
    <w:rsid w:val="00DA3F38"/>
    <w:rsid w:val="00DA48BF"/>
    <w:rsid w:val="00DA5126"/>
    <w:rsid w:val="00DA5B09"/>
    <w:rsid w:val="00DA737F"/>
    <w:rsid w:val="00DA7AB9"/>
    <w:rsid w:val="00DB0435"/>
    <w:rsid w:val="00DB3148"/>
    <w:rsid w:val="00DB4989"/>
    <w:rsid w:val="00DB4A7D"/>
    <w:rsid w:val="00DB4DF8"/>
    <w:rsid w:val="00DB5C15"/>
    <w:rsid w:val="00DB6935"/>
    <w:rsid w:val="00DB6B43"/>
    <w:rsid w:val="00DB714D"/>
    <w:rsid w:val="00DB7160"/>
    <w:rsid w:val="00DB76B2"/>
    <w:rsid w:val="00DB7749"/>
    <w:rsid w:val="00DB7775"/>
    <w:rsid w:val="00DB7DC5"/>
    <w:rsid w:val="00DB7E85"/>
    <w:rsid w:val="00DC048A"/>
    <w:rsid w:val="00DC0C98"/>
    <w:rsid w:val="00DC1302"/>
    <w:rsid w:val="00DC17E5"/>
    <w:rsid w:val="00DC1B49"/>
    <w:rsid w:val="00DC377D"/>
    <w:rsid w:val="00DC5B69"/>
    <w:rsid w:val="00DC5C64"/>
    <w:rsid w:val="00DC69A1"/>
    <w:rsid w:val="00DD0476"/>
    <w:rsid w:val="00DD09D4"/>
    <w:rsid w:val="00DD1934"/>
    <w:rsid w:val="00DD254C"/>
    <w:rsid w:val="00DD4364"/>
    <w:rsid w:val="00DD4966"/>
    <w:rsid w:val="00DD5502"/>
    <w:rsid w:val="00DD7313"/>
    <w:rsid w:val="00DD74A5"/>
    <w:rsid w:val="00DE032A"/>
    <w:rsid w:val="00DE14B4"/>
    <w:rsid w:val="00DE1A07"/>
    <w:rsid w:val="00DE1AB6"/>
    <w:rsid w:val="00DE1F5B"/>
    <w:rsid w:val="00DE270B"/>
    <w:rsid w:val="00DE2729"/>
    <w:rsid w:val="00DE3040"/>
    <w:rsid w:val="00DE30CB"/>
    <w:rsid w:val="00DE4C95"/>
    <w:rsid w:val="00DE5F64"/>
    <w:rsid w:val="00DE6602"/>
    <w:rsid w:val="00DE7100"/>
    <w:rsid w:val="00DF0C72"/>
    <w:rsid w:val="00DF1406"/>
    <w:rsid w:val="00DF25A9"/>
    <w:rsid w:val="00DF284F"/>
    <w:rsid w:val="00DF298D"/>
    <w:rsid w:val="00DF3AB3"/>
    <w:rsid w:val="00DF401D"/>
    <w:rsid w:val="00DF5DDF"/>
    <w:rsid w:val="00DF683A"/>
    <w:rsid w:val="00DF7782"/>
    <w:rsid w:val="00DF7B34"/>
    <w:rsid w:val="00E00558"/>
    <w:rsid w:val="00E01092"/>
    <w:rsid w:val="00E02EB0"/>
    <w:rsid w:val="00E04A28"/>
    <w:rsid w:val="00E056A1"/>
    <w:rsid w:val="00E05C61"/>
    <w:rsid w:val="00E06060"/>
    <w:rsid w:val="00E0679D"/>
    <w:rsid w:val="00E06B1A"/>
    <w:rsid w:val="00E07555"/>
    <w:rsid w:val="00E07C0E"/>
    <w:rsid w:val="00E102C5"/>
    <w:rsid w:val="00E10863"/>
    <w:rsid w:val="00E108A6"/>
    <w:rsid w:val="00E11E08"/>
    <w:rsid w:val="00E11E3A"/>
    <w:rsid w:val="00E11EE0"/>
    <w:rsid w:val="00E122CA"/>
    <w:rsid w:val="00E12FDB"/>
    <w:rsid w:val="00E1348C"/>
    <w:rsid w:val="00E13B71"/>
    <w:rsid w:val="00E1469E"/>
    <w:rsid w:val="00E14DA1"/>
    <w:rsid w:val="00E14EB9"/>
    <w:rsid w:val="00E14F0B"/>
    <w:rsid w:val="00E15A65"/>
    <w:rsid w:val="00E15DE4"/>
    <w:rsid w:val="00E20A55"/>
    <w:rsid w:val="00E21737"/>
    <w:rsid w:val="00E21D0F"/>
    <w:rsid w:val="00E22387"/>
    <w:rsid w:val="00E22B60"/>
    <w:rsid w:val="00E2301F"/>
    <w:rsid w:val="00E2509D"/>
    <w:rsid w:val="00E26781"/>
    <w:rsid w:val="00E26A5C"/>
    <w:rsid w:val="00E26ACD"/>
    <w:rsid w:val="00E2768E"/>
    <w:rsid w:val="00E27EA0"/>
    <w:rsid w:val="00E3063F"/>
    <w:rsid w:val="00E319D3"/>
    <w:rsid w:val="00E31C45"/>
    <w:rsid w:val="00E326E1"/>
    <w:rsid w:val="00E337AC"/>
    <w:rsid w:val="00E33A01"/>
    <w:rsid w:val="00E34271"/>
    <w:rsid w:val="00E3440D"/>
    <w:rsid w:val="00E360BA"/>
    <w:rsid w:val="00E360FB"/>
    <w:rsid w:val="00E36343"/>
    <w:rsid w:val="00E36BF5"/>
    <w:rsid w:val="00E36E0D"/>
    <w:rsid w:val="00E372D9"/>
    <w:rsid w:val="00E37CB7"/>
    <w:rsid w:val="00E400D8"/>
    <w:rsid w:val="00E4156B"/>
    <w:rsid w:val="00E415CD"/>
    <w:rsid w:val="00E41A75"/>
    <w:rsid w:val="00E41B09"/>
    <w:rsid w:val="00E4338D"/>
    <w:rsid w:val="00E4448F"/>
    <w:rsid w:val="00E44609"/>
    <w:rsid w:val="00E44FDD"/>
    <w:rsid w:val="00E452A5"/>
    <w:rsid w:val="00E4621A"/>
    <w:rsid w:val="00E46B25"/>
    <w:rsid w:val="00E46B3D"/>
    <w:rsid w:val="00E47716"/>
    <w:rsid w:val="00E47728"/>
    <w:rsid w:val="00E47948"/>
    <w:rsid w:val="00E500CF"/>
    <w:rsid w:val="00E51A9B"/>
    <w:rsid w:val="00E522E1"/>
    <w:rsid w:val="00E52F78"/>
    <w:rsid w:val="00E5343D"/>
    <w:rsid w:val="00E547E5"/>
    <w:rsid w:val="00E562E9"/>
    <w:rsid w:val="00E563A8"/>
    <w:rsid w:val="00E564A9"/>
    <w:rsid w:val="00E56C94"/>
    <w:rsid w:val="00E56CAF"/>
    <w:rsid w:val="00E56F4D"/>
    <w:rsid w:val="00E56FC3"/>
    <w:rsid w:val="00E57447"/>
    <w:rsid w:val="00E6075A"/>
    <w:rsid w:val="00E61758"/>
    <w:rsid w:val="00E62A35"/>
    <w:rsid w:val="00E62A52"/>
    <w:rsid w:val="00E63368"/>
    <w:rsid w:val="00E635AB"/>
    <w:rsid w:val="00E642F6"/>
    <w:rsid w:val="00E646CA"/>
    <w:rsid w:val="00E64739"/>
    <w:rsid w:val="00E65DE5"/>
    <w:rsid w:val="00E66319"/>
    <w:rsid w:val="00E6641B"/>
    <w:rsid w:val="00E66EB0"/>
    <w:rsid w:val="00E67425"/>
    <w:rsid w:val="00E67B88"/>
    <w:rsid w:val="00E70160"/>
    <w:rsid w:val="00E704DA"/>
    <w:rsid w:val="00E7068C"/>
    <w:rsid w:val="00E710B1"/>
    <w:rsid w:val="00E71AF2"/>
    <w:rsid w:val="00E72004"/>
    <w:rsid w:val="00E7211E"/>
    <w:rsid w:val="00E72A77"/>
    <w:rsid w:val="00E738F9"/>
    <w:rsid w:val="00E74315"/>
    <w:rsid w:val="00E748C5"/>
    <w:rsid w:val="00E76735"/>
    <w:rsid w:val="00E76E8C"/>
    <w:rsid w:val="00E777B5"/>
    <w:rsid w:val="00E7792F"/>
    <w:rsid w:val="00E77CA2"/>
    <w:rsid w:val="00E8066D"/>
    <w:rsid w:val="00E80826"/>
    <w:rsid w:val="00E81D53"/>
    <w:rsid w:val="00E82524"/>
    <w:rsid w:val="00E82598"/>
    <w:rsid w:val="00E82F81"/>
    <w:rsid w:val="00E835A6"/>
    <w:rsid w:val="00E835B7"/>
    <w:rsid w:val="00E83CA1"/>
    <w:rsid w:val="00E83DB4"/>
    <w:rsid w:val="00E84242"/>
    <w:rsid w:val="00E87533"/>
    <w:rsid w:val="00E876DF"/>
    <w:rsid w:val="00E87BE4"/>
    <w:rsid w:val="00E90EAC"/>
    <w:rsid w:val="00E9117E"/>
    <w:rsid w:val="00E9121A"/>
    <w:rsid w:val="00E912EE"/>
    <w:rsid w:val="00E914FF"/>
    <w:rsid w:val="00E922C5"/>
    <w:rsid w:val="00E925A8"/>
    <w:rsid w:val="00E92A66"/>
    <w:rsid w:val="00E92AF9"/>
    <w:rsid w:val="00E92D94"/>
    <w:rsid w:val="00E9312E"/>
    <w:rsid w:val="00E93187"/>
    <w:rsid w:val="00E9324C"/>
    <w:rsid w:val="00E9392A"/>
    <w:rsid w:val="00E94736"/>
    <w:rsid w:val="00E97139"/>
    <w:rsid w:val="00E97B78"/>
    <w:rsid w:val="00EA0D4A"/>
    <w:rsid w:val="00EA19FF"/>
    <w:rsid w:val="00EA22A6"/>
    <w:rsid w:val="00EA280C"/>
    <w:rsid w:val="00EA33D7"/>
    <w:rsid w:val="00EA3414"/>
    <w:rsid w:val="00EA39CE"/>
    <w:rsid w:val="00EA41F5"/>
    <w:rsid w:val="00EA558E"/>
    <w:rsid w:val="00EB0377"/>
    <w:rsid w:val="00EB19CA"/>
    <w:rsid w:val="00EB22EA"/>
    <w:rsid w:val="00EB330D"/>
    <w:rsid w:val="00EB3477"/>
    <w:rsid w:val="00EB48BA"/>
    <w:rsid w:val="00EB48F8"/>
    <w:rsid w:val="00EB496B"/>
    <w:rsid w:val="00EB5484"/>
    <w:rsid w:val="00EB689B"/>
    <w:rsid w:val="00EB77F3"/>
    <w:rsid w:val="00EC05AC"/>
    <w:rsid w:val="00EC0B6D"/>
    <w:rsid w:val="00EC16FB"/>
    <w:rsid w:val="00EC20BD"/>
    <w:rsid w:val="00EC20F4"/>
    <w:rsid w:val="00EC3B06"/>
    <w:rsid w:val="00EC3B14"/>
    <w:rsid w:val="00EC3C92"/>
    <w:rsid w:val="00EC4527"/>
    <w:rsid w:val="00EC49A8"/>
    <w:rsid w:val="00EC517C"/>
    <w:rsid w:val="00EC6154"/>
    <w:rsid w:val="00EC7CA6"/>
    <w:rsid w:val="00ED05A4"/>
    <w:rsid w:val="00ED0D09"/>
    <w:rsid w:val="00ED10F2"/>
    <w:rsid w:val="00ED161C"/>
    <w:rsid w:val="00ED16BC"/>
    <w:rsid w:val="00ED1805"/>
    <w:rsid w:val="00ED29C7"/>
    <w:rsid w:val="00ED2DD1"/>
    <w:rsid w:val="00ED4725"/>
    <w:rsid w:val="00ED72E5"/>
    <w:rsid w:val="00ED7620"/>
    <w:rsid w:val="00ED77BF"/>
    <w:rsid w:val="00ED7825"/>
    <w:rsid w:val="00ED78CC"/>
    <w:rsid w:val="00ED7FCE"/>
    <w:rsid w:val="00EE11B1"/>
    <w:rsid w:val="00EE253F"/>
    <w:rsid w:val="00EE2AD2"/>
    <w:rsid w:val="00EE3BC0"/>
    <w:rsid w:val="00EE42F9"/>
    <w:rsid w:val="00EE4FD5"/>
    <w:rsid w:val="00EE6CBB"/>
    <w:rsid w:val="00EE770E"/>
    <w:rsid w:val="00EE7A32"/>
    <w:rsid w:val="00EF01ED"/>
    <w:rsid w:val="00EF024E"/>
    <w:rsid w:val="00EF0D9E"/>
    <w:rsid w:val="00EF1989"/>
    <w:rsid w:val="00EF2368"/>
    <w:rsid w:val="00EF2ADF"/>
    <w:rsid w:val="00EF3872"/>
    <w:rsid w:val="00EF3A41"/>
    <w:rsid w:val="00EF3F89"/>
    <w:rsid w:val="00EF5911"/>
    <w:rsid w:val="00EF5A3C"/>
    <w:rsid w:val="00EF6D0D"/>
    <w:rsid w:val="00EF77A5"/>
    <w:rsid w:val="00F003A7"/>
    <w:rsid w:val="00F00B2A"/>
    <w:rsid w:val="00F01CAF"/>
    <w:rsid w:val="00F02102"/>
    <w:rsid w:val="00F037DB"/>
    <w:rsid w:val="00F04396"/>
    <w:rsid w:val="00F04593"/>
    <w:rsid w:val="00F11270"/>
    <w:rsid w:val="00F11403"/>
    <w:rsid w:val="00F11826"/>
    <w:rsid w:val="00F12280"/>
    <w:rsid w:val="00F12DB6"/>
    <w:rsid w:val="00F135B6"/>
    <w:rsid w:val="00F13F84"/>
    <w:rsid w:val="00F1429D"/>
    <w:rsid w:val="00F144D6"/>
    <w:rsid w:val="00F15B62"/>
    <w:rsid w:val="00F16D7A"/>
    <w:rsid w:val="00F20AB1"/>
    <w:rsid w:val="00F216C3"/>
    <w:rsid w:val="00F21757"/>
    <w:rsid w:val="00F22478"/>
    <w:rsid w:val="00F22CE3"/>
    <w:rsid w:val="00F23561"/>
    <w:rsid w:val="00F23EB8"/>
    <w:rsid w:val="00F24728"/>
    <w:rsid w:val="00F24BB2"/>
    <w:rsid w:val="00F25E66"/>
    <w:rsid w:val="00F26C8C"/>
    <w:rsid w:val="00F277C0"/>
    <w:rsid w:val="00F27BD0"/>
    <w:rsid w:val="00F27C95"/>
    <w:rsid w:val="00F30127"/>
    <w:rsid w:val="00F307A7"/>
    <w:rsid w:val="00F32D5D"/>
    <w:rsid w:val="00F337A0"/>
    <w:rsid w:val="00F342FA"/>
    <w:rsid w:val="00F34A7F"/>
    <w:rsid w:val="00F34D58"/>
    <w:rsid w:val="00F35440"/>
    <w:rsid w:val="00F36758"/>
    <w:rsid w:val="00F36FED"/>
    <w:rsid w:val="00F403F1"/>
    <w:rsid w:val="00F424C8"/>
    <w:rsid w:val="00F42E16"/>
    <w:rsid w:val="00F43103"/>
    <w:rsid w:val="00F43D6B"/>
    <w:rsid w:val="00F44B05"/>
    <w:rsid w:val="00F44BFA"/>
    <w:rsid w:val="00F452ED"/>
    <w:rsid w:val="00F459DC"/>
    <w:rsid w:val="00F478AA"/>
    <w:rsid w:val="00F47F8F"/>
    <w:rsid w:val="00F50CBB"/>
    <w:rsid w:val="00F51853"/>
    <w:rsid w:val="00F525AE"/>
    <w:rsid w:val="00F52AC2"/>
    <w:rsid w:val="00F536D8"/>
    <w:rsid w:val="00F55EAA"/>
    <w:rsid w:val="00F56C66"/>
    <w:rsid w:val="00F61C31"/>
    <w:rsid w:val="00F61F49"/>
    <w:rsid w:val="00F61FC6"/>
    <w:rsid w:val="00F62956"/>
    <w:rsid w:val="00F62BEB"/>
    <w:rsid w:val="00F6514C"/>
    <w:rsid w:val="00F65A21"/>
    <w:rsid w:val="00F66044"/>
    <w:rsid w:val="00F66328"/>
    <w:rsid w:val="00F66332"/>
    <w:rsid w:val="00F66BA6"/>
    <w:rsid w:val="00F67698"/>
    <w:rsid w:val="00F70E81"/>
    <w:rsid w:val="00F71FDF"/>
    <w:rsid w:val="00F7339B"/>
    <w:rsid w:val="00F74FE0"/>
    <w:rsid w:val="00F75768"/>
    <w:rsid w:val="00F775BF"/>
    <w:rsid w:val="00F8033F"/>
    <w:rsid w:val="00F80B48"/>
    <w:rsid w:val="00F80D0D"/>
    <w:rsid w:val="00F80D87"/>
    <w:rsid w:val="00F80FBF"/>
    <w:rsid w:val="00F816AF"/>
    <w:rsid w:val="00F81ABC"/>
    <w:rsid w:val="00F82D5E"/>
    <w:rsid w:val="00F830D5"/>
    <w:rsid w:val="00F832D0"/>
    <w:rsid w:val="00F8342F"/>
    <w:rsid w:val="00F835DB"/>
    <w:rsid w:val="00F83958"/>
    <w:rsid w:val="00F83C3E"/>
    <w:rsid w:val="00F85011"/>
    <w:rsid w:val="00F85AC4"/>
    <w:rsid w:val="00F86660"/>
    <w:rsid w:val="00F86DC3"/>
    <w:rsid w:val="00F87754"/>
    <w:rsid w:val="00F87992"/>
    <w:rsid w:val="00F90C2D"/>
    <w:rsid w:val="00F9101F"/>
    <w:rsid w:val="00F91540"/>
    <w:rsid w:val="00F92ABB"/>
    <w:rsid w:val="00F9307E"/>
    <w:rsid w:val="00F931B9"/>
    <w:rsid w:val="00F9352C"/>
    <w:rsid w:val="00F940BF"/>
    <w:rsid w:val="00F941AE"/>
    <w:rsid w:val="00F943F6"/>
    <w:rsid w:val="00F95BC8"/>
    <w:rsid w:val="00F95DA6"/>
    <w:rsid w:val="00F9603C"/>
    <w:rsid w:val="00F962C4"/>
    <w:rsid w:val="00FA0EDE"/>
    <w:rsid w:val="00FA1A60"/>
    <w:rsid w:val="00FA1CE7"/>
    <w:rsid w:val="00FA217D"/>
    <w:rsid w:val="00FA3200"/>
    <w:rsid w:val="00FA3C9D"/>
    <w:rsid w:val="00FA4736"/>
    <w:rsid w:val="00FA4F78"/>
    <w:rsid w:val="00FA5657"/>
    <w:rsid w:val="00FA6680"/>
    <w:rsid w:val="00FA6EC3"/>
    <w:rsid w:val="00FA6FA7"/>
    <w:rsid w:val="00FA768F"/>
    <w:rsid w:val="00FA7F01"/>
    <w:rsid w:val="00FB0089"/>
    <w:rsid w:val="00FB0521"/>
    <w:rsid w:val="00FB124F"/>
    <w:rsid w:val="00FB1430"/>
    <w:rsid w:val="00FB375D"/>
    <w:rsid w:val="00FB4D66"/>
    <w:rsid w:val="00FB5CE3"/>
    <w:rsid w:val="00FB62C5"/>
    <w:rsid w:val="00FB7CFE"/>
    <w:rsid w:val="00FC00A5"/>
    <w:rsid w:val="00FC0603"/>
    <w:rsid w:val="00FC0C9E"/>
    <w:rsid w:val="00FC166B"/>
    <w:rsid w:val="00FC1C1D"/>
    <w:rsid w:val="00FC1FB0"/>
    <w:rsid w:val="00FC2891"/>
    <w:rsid w:val="00FC2CEE"/>
    <w:rsid w:val="00FC4931"/>
    <w:rsid w:val="00FC6274"/>
    <w:rsid w:val="00FC6939"/>
    <w:rsid w:val="00FC6B7D"/>
    <w:rsid w:val="00FD08A8"/>
    <w:rsid w:val="00FD0921"/>
    <w:rsid w:val="00FD1369"/>
    <w:rsid w:val="00FD1D2E"/>
    <w:rsid w:val="00FD22F3"/>
    <w:rsid w:val="00FD255A"/>
    <w:rsid w:val="00FD3E70"/>
    <w:rsid w:val="00FD45C2"/>
    <w:rsid w:val="00FD5095"/>
    <w:rsid w:val="00FD56E8"/>
    <w:rsid w:val="00FD58F1"/>
    <w:rsid w:val="00FD5B43"/>
    <w:rsid w:val="00FD70C1"/>
    <w:rsid w:val="00FD7663"/>
    <w:rsid w:val="00FD7785"/>
    <w:rsid w:val="00FD7DE8"/>
    <w:rsid w:val="00FD7F32"/>
    <w:rsid w:val="00FE02B9"/>
    <w:rsid w:val="00FE1279"/>
    <w:rsid w:val="00FE204F"/>
    <w:rsid w:val="00FE20E8"/>
    <w:rsid w:val="00FE2F9B"/>
    <w:rsid w:val="00FE321B"/>
    <w:rsid w:val="00FE4167"/>
    <w:rsid w:val="00FE4302"/>
    <w:rsid w:val="00FE48F0"/>
    <w:rsid w:val="00FE4992"/>
    <w:rsid w:val="00FE49CB"/>
    <w:rsid w:val="00FE50D8"/>
    <w:rsid w:val="00FE5ADF"/>
    <w:rsid w:val="00FE765B"/>
    <w:rsid w:val="00FE7B40"/>
    <w:rsid w:val="00FF026C"/>
    <w:rsid w:val="00FF059C"/>
    <w:rsid w:val="00FF089B"/>
    <w:rsid w:val="00FF19E2"/>
    <w:rsid w:val="00FF295C"/>
    <w:rsid w:val="00FF2E26"/>
    <w:rsid w:val="00FF30A7"/>
    <w:rsid w:val="00FF376C"/>
    <w:rsid w:val="00FF4C26"/>
    <w:rsid w:val="00FF50B4"/>
    <w:rsid w:val="00FF601E"/>
    <w:rsid w:val="00FF6A14"/>
    <w:rsid w:val="00FF6F69"/>
    <w:rsid w:val="00FF6F9A"/>
    <w:rsid w:val="00FF7598"/>
    <w:rsid w:val="00FF7CB4"/>
    <w:rsid w:val="041BD7AB"/>
    <w:rsid w:val="042CBE54"/>
    <w:rsid w:val="0E0681F0"/>
    <w:rsid w:val="1F742AE0"/>
    <w:rsid w:val="222B91E5"/>
    <w:rsid w:val="2B88B4C4"/>
    <w:rsid w:val="34492798"/>
    <w:rsid w:val="47AB51CF"/>
    <w:rsid w:val="4BFE1934"/>
    <w:rsid w:val="52AD5AB5"/>
    <w:rsid w:val="52E90358"/>
    <w:rsid w:val="5A608D0D"/>
    <w:rsid w:val="5B13CA99"/>
    <w:rsid w:val="5CFCD978"/>
    <w:rsid w:val="66AF5338"/>
    <w:rsid w:val="6793FA4A"/>
    <w:rsid w:val="70BCD5A6"/>
    <w:rsid w:val="736EE149"/>
    <w:rsid w:val="770EFCF1"/>
    <w:rsid w:val="7B174156"/>
    <w:rsid w:val="7CE5A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CEC2"/>
  <w15:docId w15:val="{8E69C13A-EDE4-4E4D-838A-F5E9577F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92B"/>
    <w:pPr>
      <w:spacing w:after="200" w:line="276"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01E"/>
    <w:pPr>
      <w:ind w:left="720"/>
      <w:contextualSpacing/>
    </w:pPr>
  </w:style>
  <w:style w:type="paragraph" w:styleId="FootnoteText">
    <w:name w:val="footnote text"/>
    <w:basedOn w:val="Normal"/>
    <w:link w:val="FootnoteTextChar"/>
    <w:uiPriority w:val="99"/>
    <w:unhideWhenUsed/>
    <w:rsid w:val="008C001E"/>
    <w:pPr>
      <w:spacing w:after="0" w:line="240" w:lineRule="auto"/>
    </w:pPr>
  </w:style>
  <w:style w:type="character" w:customStyle="1" w:styleId="FootnoteTextChar">
    <w:name w:val="Footnote Text Char"/>
    <w:link w:val="FootnoteText"/>
    <w:uiPriority w:val="99"/>
    <w:rsid w:val="008C001E"/>
    <w:rPr>
      <w:rFonts w:ascii="Times New Roman" w:hAnsi="Times New Roman" w:cs="Times New Roman"/>
      <w:sz w:val="20"/>
      <w:szCs w:val="20"/>
    </w:rPr>
  </w:style>
  <w:style w:type="character" w:styleId="FootnoteReference">
    <w:name w:val="footnote reference"/>
    <w:uiPriority w:val="99"/>
    <w:semiHidden/>
    <w:unhideWhenUsed/>
    <w:rsid w:val="008C001E"/>
    <w:rPr>
      <w:vertAlign w:val="superscript"/>
    </w:rPr>
  </w:style>
  <w:style w:type="paragraph" w:styleId="Header">
    <w:name w:val="header"/>
    <w:basedOn w:val="Normal"/>
    <w:link w:val="HeaderChar"/>
    <w:uiPriority w:val="99"/>
    <w:unhideWhenUsed/>
    <w:rsid w:val="008C001E"/>
    <w:pPr>
      <w:tabs>
        <w:tab w:val="center" w:pos="4680"/>
        <w:tab w:val="right" w:pos="9360"/>
      </w:tabs>
      <w:spacing w:after="0" w:line="240" w:lineRule="auto"/>
    </w:pPr>
  </w:style>
  <w:style w:type="character" w:customStyle="1" w:styleId="HeaderChar">
    <w:name w:val="Header Char"/>
    <w:link w:val="Header"/>
    <w:uiPriority w:val="99"/>
    <w:rsid w:val="008C001E"/>
    <w:rPr>
      <w:rFonts w:ascii="Times New Roman" w:hAnsi="Times New Roman" w:cs="Times New Roman"/>
      <w:sz w:val="20"/>
      <w:szCs w:val="20"/>
    </w:rPr>
  </w:style>
  <w:style w:type="paragraph" w:styleId="Footer">
    <w:name w:val="footer"/>
    <w:basedOn w:val="Normal"/>
    <w:link w:val="FooterChar"/>
    <w:uiPriority w:val="99"/>
    <w:unhideWhenUsed/>
    <w:rsid w:val="008C001E"/>
    <w:pPr>
      <w:tabs>
        <w:tab w:val="center" w:pos="4680"/>
        <w:tab w:val="right" w:pos="9360"/>
      </w:tabs>
      <w:spacing w:after="0" w:line="240" w:lineRule="auto"/>
    </w:pPr>
  </w:style>
  <w:style w:type="character" w:customStyle="1" w:styleId="FooterChar">
    <w:name w:val="Footer Char"/>
    <w:link w:val="Footer"/>
    <w:uiPriority w:val="99"/>
    <w:rsid w:val="008C001E"/>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B1255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12559"/>
    <w:rPr>
      <w:rFonts w:ascii="Tahoma" w:hAnsi="Tahoma" w:cs="Tahoma"/>
      <w:sz w:val="16"/>
      <w:szCs w:val="16"/>
    </w:rPr>
  </w:style>
  <w:style w:type="paragraph" w:styleId="EndnoteText">
    <w:name w:val="endnote text"/>
    <w:basedOn w:val="Normal"/>
    <w:link w:val="EndnoteTextChar"/>
    <w:uiPriority w:val="99"/>
    <w:semiHidden/>
    <w:unhideWhenUsed/>
    <w:rsid w:val="00FE7B40"/>
    <w:pPr>
      <w:spacing w:after="0" w:line="240" w:lineRule="auto"/>
    </w:pPr>
  </w:style>
  <w:style w:type="character" w:customStyle="1" w:styleId="EndnoteTextChar">
    <w:name w:val="Endnote Text Char"/>
    <w:basedOn w:val="DefaultParagraphFont"/>
    <w:link w:val="EndnoteText"/>
    <w:uiPriority w:val="99"/>
    <w:semiHidden/>
    <w:rsid w:val="00FE7B40"/>
    <w:rPr>
      <w:rFonts w:ascii="Times New Roman" w:hAnsi="Times New Roman"/>
    </w:rPr>
  </w:style>
  <w:style w:type="character" w:styleId="EndnoteReference">
    <w:name w:val="endnote reference"/>
    <w:basedOn w:val="DefaultParagraphFont"/>
    <w:uiPriority w:val="99"/>
    <w:semiHidden/>
    <w:unhideWhenUsed/>
    <w:rsid w:val="00FE7B40"/>
    <w:rPr>
      <w:vertAlign w:val="superscript"/>
    </w:rPr>
  </w:style>
  <w:style w:type="character" w:styleId="CommentReference">
    <w:name w:val="annotation reference"/>
    <w:basedOn w:val="DefaultParagraphFont"/>
    <w:uiPriority w:val="99"/>
    <w:semiHidden/>
    <w:unhideWhenUsed/>
    <w:rsid w:val="00820C6E"/>
    <w:rPr>
      <w:sz w:val="16"/>
      <w:szCs w:val="16"/>
    </w:rPr>
  </w:style>
  <w:style w:type="paragraph" w:styleId="CommentText">
    <w:name w:val="annotation text"/>
    <w:basedOn w:val="Normal"/>
    <w:link w:val="CommentTextChar"/>
    <w:uiPriority w:val="99"/>
    <w:unhideWhenUsed/>
    <w:rsid w:val="00820C6E"/>
    <w:pPr>
      <w:spacing w:line="240" w:lineRule="auto"/>
    </w:pPr>
  </w:style>
  <w:style w:type="character" w:customStyle="1" w:styleId="CommentTextChar">
    <w:name w:val="Comment Text Char"/>
    <w:basedOn w:val="DefaultParagraphFont"/>
    <w:link w:val="CommentText"/>
    <w:uiPriority w:val="99"/>
    <w:rsid w:val="00820C6E"/>
    <w:rPr>
      <w:rFonts w:ascii="Times New Roman" w:hAnsi="Times New Roman"/>
    </w:rPr>
  </w:style>
  <w:style w:type="paragraph" w:styleId="CommentSubject">
    <w:name w:val="annotation subject"/>
    <w:basedOn w:val="CommentText"/>
    <w:next w:val="CommentText"/>
    <w:link w:val="CommentSubjectChar"/>
    <w:uiPriority w:val="99"/>
    <w:semiHidden/>
    <w:unhideWhenUsed/>
    <w:rsid w:val="00820C6E"/>
    <w:rPr>
      <w:b/>
      <w:bCs/>
    </w:rPr>
  </w:style>
  <w:style w:type="character" w:customStyle="1" w:styleId="CommentSubjectChar">
    <w:name w:val="Comment Subject Char"/>
    <w:basedOn w:val="CommentTextChar"/>
    <w:link w:val="CommentSubject"/>
    <w:uiPriority w:val="99"/>
    <w:semiHidden/>
    <w:rsid w:val="00820C6E"/>
    <w:rPr>
      <w:rFonts w:ascii="Times New Roman" w:hAnsi="Times New Roman"/>
      <w:b/>
      <w:bCs/>
    </w:rPr>
  </w:style>
  <w:style w:type="character" w:customStyle="1" w:styleId="normaltextrun">
    <w:name w:val="normaltextrun"/>
    <w:basedOn w:val="DefaultParagraphFont"/>
    <w:rsid w:val="00745C27"/>
  </w:style>
  <w:style w:type="character" w:styleId="Hyperlink">
    <w:name w:val="Hyperlink"/>
    <w:basedOn w:val="DefaultParagraphFont"/>
    <w:uiPriority w:val="99"/>
    <w:semiHidden/>
    <w:unhideWhenUsed/>
    <w:rsid w:val="001F76E0"/>
    <w:rPr>
      <w:color w:val="0000FF"/>
      <w:u w:val="single"/>
    </w:rPr>
  </w:style>
  <w:style w:type="character" w:customStyle="1" w:styleId="apple-converted-space">
    <w:name w:val="apple-converted-space"/>
    <w:basedOn w:val="DefaultParagraphFont"/>
    <w:rsid w:val="001F76E0"/>
  </w:style>
  <w:style w:type="character" w:customStyle="1" w:styleId="cosearchterm">
    <w:name w:val="co_searchterm"/>
    <w:basedOn w:val="DefaultParagraphFont"/>
    <w:rsid w:val="001F76E0"/>
  </w:style>
  <w:style w:type="paragraph" w:styleId="Revision">
    <w:name w:val="Revision"/>
    <w:hidden/>
    <w:uiPriority w:val="99"/>
    <w:semiHidden/>
    <w:rsid w:val="00615944"/>
    <w:rPr>
      <w:rFonts w:ascii="Times New Roman" w:hAnsi="Times New Roman"/>
    </w:rPr>
  </w:style>
  <w:style w:type="paragraph" w:customStyle="1" w:styleId="paragraph">
    <w:name w:val="paragraph"/>
    <w:basedOn w:val="Normal"/>
    <w:rsid w:val="0050781A"/>
    <w:pPr>
      <w:spacing w:before="100" w:beforeAutospacing="1" w:after="100" w:afterAutospacing="1" w:line="240" w:lineRule="auto"/>
    </w:pPr>
    <w:rPr>
      <w:rFonts w:eastAsia="Times New Roman"/>
      <w:sz w:val="24"/>
      <w:szCs w:val="24"/>
    </w:rPr>
  </w:style>
  <w:style w:type="character" w:customStyle="1" w:styleId="eop">
    <w:name w:val="eop"/>
    <w:basedOn w:val="DefaultParagraphFont"/>
    <w:rsid w:val="0050781A"/>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110504">
      <w:bodyDiv w:val="1"/>
      <w:marLeft w:val="0"/>
      <w:marRight w:val="0"/>
      <w:marTop w:val="0"/>
      <w:marBottom w:val="0"/>
      <w:divBdr>
        <w:top w:val="none" w:sz="0" w:space="0" w:color="auto"/>
        <w:left w:val="none" w:sz="0" w:space="0" w:color="auto"/>
        <w:bottom w:val="none" w:sz="0" w:space="0" w:color="auto"/>
        <w:right w:val="none" w:sz="0" w:space="0" w:color="auto"/>
      </w:divBdr>
    </w:div>
    <w:div w:id="1330210874">
      <w:bodyDiv w:val="1"/>
      <w:marLeft w:val="0"/>
      <w:marRight w:val="0"/>
      <w:marTop w:val="0"/>
      <w:marBottom w:val="0"/>
      <w:divBdr>
        <w:top w:val="none" w:sz="0" w:space="0" w:color="auto"/>
        <w:left w:val="none" w:sz="0" w:space="0" w:color="auto"/>
        <w:bottom w:val="none" w:sz="0" w:space="0" w:color="auto"/>
        <w:right w:val="none" w:sz="0" w:space="0" w:color="auto"/>
      </w:divBdr>
    </w:div>
    <w:div w:id="1588078286">
      <w:bodyDiv w:val="1"/>
      <w:marLeft w:val="0"/>
      <w:marRight w:val="0"/>
      <w:marTop w:val="0"/>
      <w:marBottom w:val="0"/>
      <w:divBdr>
        <w:top w:val="none" w:sz="0" w:space="0" w:color="auto"/>
        <w:left w:val="none" w:sz="0" w:space="0" w:color="auto"/>
        <w:bottom w:val="none" w:sz="0" w:space="0" w:color="auto"/>
        <w:right w:val="none" w:sz="0" w:space="0" w:color="auto"/>
      </w:divBdr>
      <w:divsChild>
        <w:div w:id="519972426">
          <w:marLeft w:val="0"/>
          <w:marRight w:val="0"/>
          <w:marTop w:val="0"/>
          <w:marBottom w:val="0"/>
          <w:divBdr>
            <w:top w:val="none" w:sz="0" w:space="0" w:color="auto"/>
            <w:left w:val="none" w:sz="0" w:space="0" w:color="auto"/>
            <w:bottom w:val="none" w:sz="0" w:space="0" w:color="auto"/>
            <w:right w:val="none" w:sz="0" w:space="0" w:color="auto"/>
          </w:divBdr>
        </w:div>
        <w:div w:id="60374425">
          <w:marLeft w:val="0"/>
          <w:marRight w:val="0"/>
          <w:marTop w:val="0"/>
          <w:marBottom w:val="0"/>
          <w:divBdr>
            <w:top w:val="none" w:sz="0" w:space="0" w:color="auto"/>
            <w:left w:val="none" w:sz="0" w:space="0" w:color="auto"/>
            <w:bottom w:val="none" w:sz="0" w:space="0" w:color="auto"/>
            <w:right w:val="none" w:sz="0" w:space="0" w:color="auto"/>
          </w:divBdr>
        </w:div>
        <w:div w:id="611398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8543E7FAAD56C46ABFEA2C253EAB043" ma:contentTypeVersion="11" ma:contentTypeDescription="Create a new document." ma:contentTypeScope="" ma:versionID="92c9520f473573773652e3e304b42339">
  <xsd:schema xmlns:xsd="http://www.w3.org/2001/XMLSchema" xmlns:xs="http://www.w3.org/2001/XMLSchema" xmlns:p="http://schemas.microsoft.com/office/2006/metadata/properties" xmlns:ns3="875c7d66-57f9-4a80-be2d-f1603ca3be1d" xmlns:ns4="719a6925-4274-466a-a665-625f8df83862" targetNamespace="http://schemas.microsoft.com/office/2006/metadata/properties" ma:root="true" ma:fieldsID="ee19d7a39d7acb8053bdc24658971e57" ns3:_="" ns4:_="">
    <xsd:import namespace="875c7d66-57f9-4a80-be2d-f1603ca3be1d"/>
    <xsd:import namespace="719a6925-4274-466a-a665-625f8df838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c7d66-57f9-4a80-be2d-f1603ca3b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9a6925-4274-466a-a665-625f8df838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8342F1-44A9-4685-94F9-6233A79B5D8E}">
  <ds:schemaRefs>
    <ds:schemaRef ds:uri="http://schemas.openxmlformats.org/officeDocument/2006/bibliography"/>
  </ds:schemaRefs>
</ds:datastoreItem>
</file>

<file path=customXml/itemProps2.xml><?xml version="1.0" encoding="utf-8"?>
<ds:datastoreItem xmlns:ds="http://schemas.openxmlformats.org/officeDocument/2006/customXml" ds:itemID="{57670624-6EC3-4D45-B9C1-54A039520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c7d66-57f9-4a80-be2d-f1603ca3be1d"/>
    <ds:schemaRef ds:uri="719a6925-4274-466a-a665-625f8df838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7EC6C5-3A1A-480F-99FB-91FC2BBCE6F7}">
  <ds:schemaRefs>
    <ds:schemaRef ds:uri="http://schemas.microsoft.com/sharepoint/v3/contenttype/forms"/>
  </ds:schemaRefs>
</ds:datastoreItem>
</file>

<file path=customXml/itemProps4.xml><?xml version="1.0" encoding="utf-8"?>
<ds:datastoreItem xmlns:ds="http://schemas.openxmlformats.org/officeDocument/2006/customXml" ds:itemID="{42740810-EB39-48C1-AAD8-D5FB1BE3CC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3141</Words>
  <Characters>18533</Characters>
  <Application>Microsoft Office Word</Application>
  <DocSecurity>0</DocSecurity>
  <Lines>363</Lines>
  <Paragraphs>94</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21580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dc:creator>
  <cp:keywords/>
  <cp:lastModifiedBy>Katz, Isaac (PERB)</cp:lastModifiedBy>
  <cp:revision>4</cp:revision>
  <cp:lastPrinted>2020-02-20T15:36:00Z</cp:lastPrinted>
  <dcterms:created xsi:type="dcterms:W3CDTF">2025-11-25T16:20:00Z</dcterms:created>
  <dcterms:modified xsi:type="dcterms:W3CDTF">2025-11-25T17:29:00Z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0x010100D8543E7FAAD56C46ABFEA2C253EAB043</vt:lpwstr>
  </property>
</Properties>
</file>